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A039" w14:textId="463FFAE1" w:rsidR="00B66A58" w:rsidRPr="000456A9" w:rsidRDefault="00B51B13" w:rsidP="000456A9">
      <w:pPr>
        <w:spacing w:line="276" w:lineRule="auto"/>
        <w:jc w:val="center"/>
        <w:rPr>
          <w:rFonts w:ascii="Cavolini" w:hAnsi="Cavolini" w:cs="Cavolini"/>
          <w:b/>
          <w:sz w:val="48"/>
          <w:szCs w:val="48"/>
        </w:rPr>
      </w:pPr>
      <w:r w:rsidRPr="009A4180">
        <w:rPr>
          <w:rFonts w:ascii="Cavolini" w:hAnsi="Cavolini" w:cs="Cavolini"/>
          <w:b/>
          <w:sz w:val="48"/>
          <w:szCs w:val="48"/>
        </w:rPr>
        <w:t xml:space="preserve">Immunisation </w:t>
      </w:r>
      <w:r w:rsidR="00D50E08">
        <w:rPr>
          <w:rFonts w:ascii="Cavolini" w:hAnsi="Cavolini" w:cs="Cavolini"/>
          <w:b/>
          <w:sz w:val="48"/>
          <w:szCs w:val="48"/>
        </w:rPr>
        <w:t>Foundation</w:t>
      </w:r>
      <w:r w:rsidRPr="009A4180">
        <w:rPr>
          <w:rFonts w:ascii="Cavolini" w:hAnsi="Cavolini" w:cs="Cavolini"/>
          <w:b/>
          <w:sz w:val="48"/>
          <w:szCs w:val="48"/>
        </w:rPr>
        <w:t xml:space="preserve"> Training Overview</w:t>
      </w:r>
    </w:p>
    <w:p w14:paraId="28FC3B1C" w14:textId="77777777" w:rsidR="00B8731E" w:rsidRPr="00F03FB8" w:rsidRDefault="00B8731E" w:rsidP="00B8731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03FB8">
        <w:rPr>
          <w:rFonts w:cstheme="minorHAnsi"/>
          <w:b/>
          <w:bCs/>
          <w:sz w:val="24"/>
          <w:szCs w:val="24"/>
        </w:rPr>
        <w:t>Intended Audience</w:t>
      </w:r>
    </w:p>
    <w:p w14:paraId="6F746B33" w14:textId="77777777" w:rsidR="00B8731E" w:rsidRDefault="00B8731E" w:rsidP="00B8731E">
      <w:pPr>
        <w:spacing w:line="276" w:lineRule="auto"/>
        <w:rPr>
          <w:rFonts w:cstheme="minorHAnsi"/>
          <w:sz w:val="24"/>
          <w:szCs w:val="24"/>
        </w:rPr>
      </w:pPr>
      <w:r w:rsidRPr="00F03FB8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interprofessional f</w:t>
      </w:r>
      <w:r w:rsidRPr="00F03FB8">
        <w:rPr>
          <w:rFonts w:cstheme="minorHAnsi"/>
          <w:sz w:val="24"/>
          <w:szCs w:val="24"/>
        </w:rPr>
        <w:t xml:space="preserve">oundation </w:t>
      </w:r>
      <w:r>
        <w:rPr>
          <w:rFonts w:cstheme="minorHAnsi"/>
          <w:sz w:val="24"/>
          <w:szCs w:val="24"/>
        </w:rPr>
        <w:t>i</w:t>
      </w:r>
      <w:r w:rsidRPr="00F03FB8">
        <w:rPr>
          <w:rFonts w:cstheme="minorHAnsi"/>
          <w:sz w:val="24"/>
          <w:szCs w:val="24"/>
        </w:rPr>
        <w:t xml:space="preserve">mmunisation training is intended for health care </w:t>
      </w:r>
      <w:r>
        <w:rPr>
          <w:rFonts w:cstheme="minorHAnsi"/>
          <w:sz w:val="24"/>
          <w:szCs w:val="24"/>
        </w:rPr>
        <w:t>workers with no prior knowledge or experience of immunisations</w:t>
      </w:r>
      <w:r w:rsidRPr="00F03FB8">
        <w:rPr>
          <w:rFonts w:cstheme="minorHAnsi"/>
          <w:sz w:val="24"/>
          <w:szCs w:val="24"/>
        </w:rPr>
        <w:t>, who will be</w:t>
      </w:r>
      <w:r>
        <w:rPr>
          <w:rFonts w:cstheme="minorHAnsi"/>
          <w:sz w:val="24"/>
          <w:szCs w:val="24"/>
        </w:rPr>
        <w:t xml:space="preserve"> </w:t>
      </w:r>
      <w:r w:rsidRPr="00F03FB8">
        <w:rPr>
          <w:rFonts w:cstheme="minorHAnsi"/>
          <w:sz w:val="24"/>
          <w:szCs w:val="24"/>
        </w:rPr>
        <w:t>administering vaccines within a primary care setting, including those in the childhood vaccination</w:t>
      </w:r>
      <w:r>
        <w:rPr>
          <w:rFonts w:cstheme="minorHAnsi"/>
          <w:sz w:val="24"/>
          <w:szCs w:val="24"/>
        </w:rPr>
        <w:t xml:space="preserve"> </w:t>
      </w:r>
      <w:r w:rsidRPr="00F03FB8">
        <w:rPr>
          <w:rFonts w:cstheme="minorHAnsi"/>
          <w:sz w:val="24"/>
          <w:szCs w:val="24"/>
        </w:rPr>
        <w:t>programme.</w:t>
      </w:r>
      <w:r>
        <w:rPr>
          <w:rFonts w:cstheme="minorHAnsi"/>
          <w:sz w:val="24"/>
          <w:szCs w:val="24"/>
        </w:rPr>
        <w:t xml:space="preserve">  </w:t>
      </w:r>
    </w:p>
    <w:p w14:paraId="188F93C0" w14:textId="77777777" w:rsidR="000C7962" w:rsidRDefault="000C7962" w:rsidP="00B8731E">
      <w:pPr>
        <w:spacing w:line="276" w:lineRule="auto"/>
        <w:rPr>
          <w:rFonts w:cstheme="minorHAnsi"/>
          <w:sz w:val="24"/>
          <w:szCs w:val="24"/>
        </w:rPr>
      </w:pPr>
    </w:p>
    <w:p w14:paraId="60416F0C" w14:textId="49A299DF" w:rsidR="00B8731E" w:rsidRDefault="000456A9" w:rsidP="00B8731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B8731E" w:rsidRPr="00F03FB8">
        <w:rPr>
          <w:rFonts w:cstheme="minorHAnsi"/>
          <w:sz w:val="24"/>
          <w:szCs w:val="24"/>
        </w:rPr>
        <w:t xml:space="preserve">ur immunisation training programme </w:t>
      </w:r>
      <w:r>
        <w:rPr>
          <w:rFonts w:cstheme="minorHAnsi"/>
          <w:sz w:val="24"/>
          <w:szCs w:val="24"/>
        </w:rPr>
        <w:t>is</w:t>
      </w:r>
      <w:r w:rsidR="00B8731E" w:rsidRPr="00F03FB8">
        <w:rPr>
          <w:rFonts w:cstheme="minorHAnsi"/>
          <w:sz w:val="24"/>
          <w:szCs w:val="24"/>
        </w:rPr>
        <w:t xml:space="preserve"> interprofessional to incorporate the</w:t>
      </w:r>
      <w:r w:rsidR="00B8731E">
        <w:rPr>
          <w:rFonts w:cstheme="minorHAnsi"/>
          <w:sz w:val="24"/>
          <w:szCs w:val="24"/>
        </w:rPr>
        <w:t xml:space="preserve"> </w:t>
      </w:r>
      <w:r w:rsidR="00B8731E" w:rsidRPr="00F03FB8">
        <w:rPr>
          <w:rFonts w:cstheme="minorHAnsi"/>
          <w:sz w:val="24"/>
          <w:szCs w:val="24"/>
        </w:rPr>
        <w:t>many different healthcare workers who now participate in immunisation. Interprofessional</w:t>
      </w:r>
      <w:r w:rsidR="00B8731E">
        <w:rPr>
          <w:rFonts w:cstheme="minorHAnsi"/>
          <w:sz w:val="24"/>
          <w:szCs w:val="24"/>
        </w:rPr>
        <w:t xml:space="preserve"> </w:t>
      </w:r>
      <w:r w:rsidR="00B8731E" w:rsidRPr="00F03FB8">
        <w:rPr>
          <w:rFonts w:cstheme="minorHAnsi"/>
          <w:sz w:val="24"/>
          <w:szCs w:val="24"/>
        </w:rPr>
        <w:t>education improves understanding of other professional roles and responsibilities, which in</w:t>
      </w:r>
      <w:r w:rsidR="00B8731E">
        <w:rPr>
          <w:rFonts w:cstheme="minorHAnsi"/>
          <w:sz w:val="24"/>
          <w:szCs w:val="24"/>
        </w:rPr>
        <w:t xml:space="preserve"> </w:t>
      </w:r>
      <w:r w:rsidR="00B8731E" w:rsidRPr="00F03FB8">
        <w:rPr>
          <w:rFonts w:cstheme="minorHAnsi"/>
          <w:sz w:val="24"/>
          <w:szCs w:val="24"/>
        </w:rPr>
        <w:t>turn has a positive impact on patient outcomes.</w:t>
      </w:r>
      <w:r>
        <w:rPr>
          <w:rFonts w:cstheme="minorHAnsi"/>
          <w:sz w:val="24"/>
          <w:szCs w:val="24"/>
        </w:rPr>
        <w:t xml:space="preserve"> Therefore, t</w:t>
      </w:r>
      <w:r w:rsidR="00B8731E">
        <w:rPr>
          <w:rFonts w:cstheme="minorHAnsi"/>
          <w:sz w:val="24"/>
          <w:szCs w:val="24"/>
        </w:rPr>
        <w:t xml:space="preserve">his training will have both registered professionals and health care support workers (HCSWs) in attendance. </w:t>
      </w:r>
      <w:r w:rsidR="00B8731E" w:rsidRPr="000456A9">
        <w:rPr>
          <w:rFonts w:cstheme="minorHAnsi"/>
          <w:sz w:val="24"/>
          <w:szCs w:val="24"/>
          <w:highlight w:val="yellow"/>
        </w:rPr>
        <w:t>Please note</w:t>
      </w:r>
      <w:r w:rsidRPr="000456A9">
        <w:rPr>
          <w:rFonts w:cstheme="minorHAnsi"/>
          <w:sz w:val="24"/>
          <w:szCs w:val="24"/>
          <w:highlight w:val="yellow"/>
        </w:rPr>
        <w:t xml:space="preserve"> - </w:t>
      </w:r>
      <w:r w:rsidR="00B8731E" w:rsidRPr="000456A9">
        <w:rPr>
          <w:rFonts w:cstheme="minorHAnsi"/>
          <w:sz w:val="24"/>
          <w:szCs w:val="24"/>
          <w:highlight w:val="yellow"/>
        </w:rPr>
        <w:t>only HCSWs who have achieved or are currently undertaking education and training to Level 3 of the Qualifications and Credit Framework (QCF) or equivalent with at least 2 years’ experience as a HCSW will be considered eligible for training in vaccine administration.</w:t>
      </w:r>
    </w:p>
    <w:p w14:paraId="75358A35" w14:textId="77777777" w:rsidR="00B66A58" w:rsidRPr="00B66A58" w:rsidRDefault="00B66A58" w:rsidP="00B66A58">
      <w:pPr>
        <w:spacing w:line="276" w:lineRule="auto"/>
        <w:rPr>
          <w:rFonts w:cstheme="minorHAnsi"/>
          <w:sz w:val="24"/>
          <w:szCs w:val="24"/>
        </w:rPr>
      </w:pPr>
    </w:p>
    <w:p w14:paraId="0BA4D970" w14:textId="4C9DE4F0" w:rsidR="00B51B13" w:rsidRPr="00F9465A" w:rsidRDefault="00853E95" w:rsidP="00BC3A7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9465A">
        <w:rPr>
          <w:rFonts w:cstheme="minorHAnsi"/>
          <w:b/>
          <w:bCs/>
          <w:sz w:val="24"/>
          <w:szCs w:val="24"/>
        </w:rPr>
        <w:t xml:space="preserve">Training Content </w:t>
      </w:r>
    </w:p>
    <w:p w14:paraId="412E39BA" w14:textId="7E92A96E" w:rsidR="006F5F4D" w:rsidRDefault="00853E95" w:rsidP="006F5F4D">
      <w:pPr>
        <w:spacing w:line="276" w:lineRule="auto"/>
        <w:rPr>
          <w:rFonts w:cstheme="minorHAnsi"/>
          <w:sz w:val="24"/>
          <w:szCs w:val="24"/>
        </w:rPr>
      </w:pPr>
      <w:r w:rsidRPr="00F9465A">
        <w:rPr>
          <w:rFonts w:cstheme="minorHAnsi"/>
          <w:sz w:val="24"/>
          <w:szCs w:val="24"/>
        </w:rPr>
        <w:t>Th</w:t>
      </w:r>
      <w:r w:rsidR="000456A9">
        <w:rPr>
          <w:rFonts w:cstheme="minorHAnsi"/>
          <w:sz w:val="24"/>
          <w:szCs w:val="24"/>
        </w:rPr>
        <w:t>e</w:t>
      </w:r>
      <w:r w:rsidRPr="00F9465A">
        <w:rPr>
          <w:rFonts w:cstheme="minorHAnsi"/>
          <w:sz w:val="24"/>
          <w:szCs w:val="24"/>
        </w:rPr>
        <w:t xml:space="preserve"> </w:t>
      </w:r>
      <w:r w:rsidR="0055726B" w:rsidRPr="00F9465A">
        <w:rPr>
          <w:rFonts w:cstheme="minorHAnsi"/>
          <w:sz w:val="24"/>
          <w:szCs w:val="24"/>
        </w:rPr>
        <w:t xml:space="preserve">theoretical aspects of the </w:t>
      </w:r>
      <w:r w:rsidRPr="00F9465A">
        <w:rPr>
          <w:rFonts w:cstheme="minorHAnsi"/>
          <w:sz w:val="24"/>
          <w:szCs w:val="24"/>
        </w:rPr>
        <w:t xml:space="preserve">training </w:t>
      </w:r>
      <w:r w:rsidR="00EB5BC0" w:rsidRPr="00F9465A">
        <w:rPr>
          <w:rFonts w:cstheme="minorHAnsi"/>
          <w:sz w:val="24"/>
          <w:szCs w:val="24"/>
        </w:rPr>
        <w:t>contained in the prior learning and interactive session</w:t>
      </w:r>
      <w:r w:rsidR="00703C99" w:rsidRPr="00F9465A">
        <w:rPr>
          <w:rFonts w:cstheme="minorHAnsi"/>
          <w:sz w:val="24"/>
          <w:szCs w:val="24"/>
        </w:rPr>
        <w:t xml:space="preserve"> </w:t>
      </w:r>
      <w:r w:rsidRPr="00F9465A">
        <w:rPr>
          <w:rFonts w:cstheme="minorHAnsi"/>
          <w:sz w:val="24"/>
          <w:szCs w:val="24"/>
        </w:rPr>
        <w:t xml:space="preserve">will </w:t>
      </w:r>
      <w:r w:rsidR="0055726B" w:rsidRPr="00F9465A">
        <w:rPr>
          <w:rFonts w:cstheme="minorHAnsi"/>
          <w:sz w:val="24"/>
          <w:szCs w:val="24"/>
        </w:rPr>
        <w:t xml:space="preserve">take a </w:t>
      </w:r>
      <w:r w:rsidR="0055726B" w:rsidRPr="00F9465A">
        <w:rPr>
          <w:rFonts w:cstheme="minorHAnsi"/>
          <w:b/>
          <w:bCs/>
          <w:sz w:val="24"/>
          <w:szCs w:val="24"/>
        </w:rPr>
        <w:t>minimum of 2 days</w:t>
      </w:r>
      <w:r w:rsidR="0055726B" w:rsidRPr="00F9465A">
        <w:rPr>
          <w:rFonts w:cstheme="minorHAnsi"/>
          <w:sz w:val="24"/>
          <w:szCs w:val="24"/>
        </w:rPr>
        <w:t xml:space="preserve"> </w:t>
      </w:r>
      <w:r w:rsidR="00703C99" w:rsidRPr="00F9465A">
        <w:rPr>
          <w:rFonts w:cstheme="minorHAnsi"/>
          <w:sz w:val="24"/>
          <w:szCs w:val="24"/>
        </w:rPr>
        <w:t xml:space="preserve">and </w:t>
      </w:r>
      <w:r w:rsidRPr="00F9465A">
        <w:rPr>
          <w:rFonts w:cstheme="minorHAnsi"/>
          <w:sz w:val="24"/>
          <w:szCs w:val="24"/>
        </w:rPr>
        <w:t xml:space="preserve">cover all </w:t>
      </w:r>
      <w:r w:rsidRPr="00F9465A">
        <w:rPr>
          <w:rFonts w:cstheme="minorHAnsi"/>
          <w:b/>
          <w:bCs/>
          <w:sz w:val="24"/>
          <w:szCs w:val="24"/>
        </w:rPr>
        <w:t>the core topics of immunisation</w:t>
      </w:r>
      <w:r w:rsidRPr="00F9465A">
        <w:rPr>
          <w:rFonts w:cstheme="minorHAnsi"/>
          <w:sz w:val="24"/>
          <w:szCs w:val="24"/>
        </w:rPr>
        <w:t xml:space="preserve"> as recommended in </w:t>
      </w:r>
      <w:hyperlink r:id="rId11" w:history="1">
        <w:r w:rsidR="006F5F4D" w:rsidRPr="00F9465A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/>
          </w:rPr>
          <w:t>National Minimum Standards and Core Curriculum for Immunisation Training for Registered Healthcare Practitioners</w:t>
        </w:r>
      </w:hyperlink>
      <w:r w:rsidR="006F5F4D" w:rsidRPr="00F9465A">
        <w:rPr>
          <w:rFonts w:ascii="Calibri" w:eastAsia="Calibri" w:hAnsi="Calibri" w:cs="Calibri"/>
          <w:sz w:val="24"/>
          <w:szCs w:val="24"/>
          <w:lang w:val="en-US"/>
        </w:rPr>
        <w:t xml:space="preserve"> and </w:t>
      </w:r>
      <w:hyperlink r:id="rId12" w:history="1">
        <w:r w:rsidR="006F5F4D" w:rsidRPr="00F9465A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Immunisation Training of Healthcare Support Workers: National Minimum Standards and Core Curriculum</w:t>
        </w:r>
      </w:hyperlink>
      <w:r w:rsidR="006F5F4D" w:rsidRPr="00F9465A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  <w:r w:rsidR="006F5F4D" w:rsidRPr="00F9465A">
        <w:rPr>
          <w:rFonts w:cstheme="minorHAnsi"/>
          <w:sz w:val="24"/>
          <w:szCs w:val="24"/>
        </w:rPr>
        <w:t xml:space="preserve">as detailed below: </w:t>
      </w:r>
    </w:p>
    <w:p w14:paraId="5C8DC809" w14:textId="77777777" w:rsidR="000456A9" w:rsidRPr="00F9465A" w:rsidRDefault="000456A9" w:rsidP="006F5F4D">
      <w:pPr>
        <w:spacing w:line="276" w:lineRule="auto"/>
        <w:rPr>
          <w:rFonts w:cstheme="minorHAnsi"/>
          <w:sz w:val="24"/>
          <w:szCs w:val="24"/>
        </w:rPr>
      </w:pPr>
    </w:p>
    <w:p w14:paraId="690B4EA7" w14:textId="7CE6CAD6" w:rsidR="0033655F" w:rsidRPr="000456A9" w:rsidRDefault="0033655F" w:rsidP="006F5F4D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 xml:space="preserve">The aims of immunisation, national vaccine policy and schedules </w:t>
      </w:r>
    </w:p>
    <w:p w14:paraId="71D55599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 xml:space="preserve">The immune response to vaccines and how vaccines work </w:t>
      </w:r>
    </w:p>
    <w:p w14:paraId="2041D53B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Vaccine preventable diseases</w:t>
      </w:r>
    </w:p>
    <w:p w14:paraId="189DFBA6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The different types of vaccines, their composition and the indications and contraindications</w:t>
      </w:r>
    </w:p>
    <w:p w14:paraId="7FCBC028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Current issues in immunisation</w:t>
      </w:r>
    </w:p>
    <w:p w14:paraId="4697A8DB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Communicating with patients, parents and carers about vaccines</w:t>
      </w:r>
    </w:p>
    <w:p w14:paraId="4335A9CF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Legal issues in immunisation</w:t>
      </w:r>
    </w:p>
    <w:p w14:paraId="7CC03247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Storage and handling of vaccines</w:t>
      </w:r>
    </w:p>
    <w:p w14:paraId="7455C3F4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Correct administration of vaccines</w:t>
      </w:r>
    </w:p>
    <w:p w14:paraId="194B52B7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Anaphylaxis and adverse reactions</w:t>
      </w:r>
    </w:p>
    <w:p w14:paraId="79B0FFAF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Documentation, record keeping and reporting</w:t>
      </w:r>
    </w:p>
    <w:p w14:paraId="164DC82D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Strategies for optimising immunisation uptake</w:t>
      </w:r>
    </w:p>
    <w:p w14:paraId="41051388" w14:textId="77777777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>The role of the HCSW as an immuniser (to include: role limitations, the role of others in immunisation)</w:t>
      </w:r>
    </w:p>
    <w:p w14:paraId="7ACB102F" w14:textId="4D3EA380" w:rsidR="0033655F" w:rsidRPr="000456A9" w:rsidRDefault="0033655F" w:rsidP="0033655F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456A9">
        <w:rPr>
          <w:rFonts w:cstheme="minorHAnsi"/>
          <w:sz w:val="24"/>
          <w:szCs w:val="24"/>
        </w:rPr>
        <w:t xml:space="preserve">Support for the HCSW </w:t>
      </w:r>
      <w:r w:rsidR="000456A9">
        <w:rPr>
          <w:rFonts w:cstheme="minorHAnsi"/>
          <w:sz w:val="24"/>
          <w:szCs w:val="24"/>
        </w:rPr>
        <w:t>(</w:t>
      </w:r>
      <w:proofErr w:type="spellStart"/>
      <w:r w:rsidRPr="000456A9">
        <w:rPr>
          <w:rFonts w:cstheme="minorHAnsi"/>
          <w:sz w:val="24"/>
          <w:szCs w:val="24"/>
        </w:rPr>
        <w:t>eg</w:t>
      </w:r>
      <w:r w:rsidR="000456A9" w:rsidRPr="000456A9">
        <w:rPr>
          <w:rFonts w:cstheme="minorHAnsi"/>
          <w:sz w:val="24"/>
          <w:szCs w:val="24"/>
        </w:rPr>
        <w:t>.</w:t>
      </w:r>
      <w:proofErr w:type="spellEnd"/>
      <w:r w:rsidRPr="000456A9">
        <w:rPr>
          <w:rFonts w:cstheme="minorHAnsi"/>
          <w:sz w:val="24"/>
          <w:szCs w:val="24"/>
        </w:rPr>
        <w:t xml:space="preserve"> supervision, mentorship and reflection</w:t>
      </w:r>
      <w:r w:rsidR="000456A9">
        <w:rPr>
          <w:rFonts w:cstheme="minorHAnsi"/>
          <w:sz w:val="24"/>
          <w:szCs w:val="24"/>
        </w:rPr>
        <w:t>)</w:t>
      </w:r>
    </w:p>
    <w:p w14:paraId="1C762A61" w14:textId="77777777" w:rsidR="00853E95" w:rsidRDefault="00853E95" w:rsidP="0033655F">
      <w:pPr>
        <w:spacing w:line="276" w:lineRule="auto"/>
      </w:pPr>
    </w:p>
    <w:p w14:paraId="30CAC806" w14:textId="77777777" w:rsidR="00F9465A" w:rsidRDefault="00F9465A" w:rsidP="00BC3A7F">
      <w:pPr>
        <w:spacing w:line="276" w:lineRule="auto"/>
        <w:rPr>
          <w:rFonts w:cstheme="minorHAnsi"/>
          <w:sz w:val="24"/>
          <w:szCs w:val="24"/>
        </w:rPr>
      </w:pPr>
    </w:p>
    <w:p w14:paraId="53B7F898" w14:textId="26FC1BFF" w:rsidR="00B51B13" w:rsidRDefault="00B51B13" w:rsidP="00BC3A7F">
      <w:pPr>
        <w:spacing w:line="276" w:lineRule="auto"/>
        <w:rPr>
          <w:rFonts w:cstheme="minorHAnsi"/>
          <w:sz w:val="24"/>
          <w:szCs w:val="24"/>
        </w:rPr>
      </w:pPr>
      <w:r w:rsidRPr="00B51B13">
        <w:rPr>
          <w:rFonts w:cstheme="minorHAnsi"/>
          <w:sz w:val="24"/>
          <w:szCs w:val="24"/>
        </w:rPr>
        <w:t xml:space="preserve">This training is a blended learning programme that consists of </w:t>
      </w:r>
      <w:r w:rsidR="008A5F97" w:rsidRPr="000456A9">
        <w:rPr>
          <w:rFonts w:cstheme="minorHAnsi"/>
          <w:b/>
          <w:bCs/>
          <w:color w:val="FF0000"/>
          <w:sz w:val="24"/>
          <w:szCs w:val="24"/>
        </w:rPr>
        <w:t>three</w:t>
      </w:r>
      <w:r w:rsidRPr="00B51B13">
        <w:rPr>
          <w:rFonts w:cstheme="minorHAnsi"/>
          <w:sz w:val="24"/>
          <w:szCs w:val="24"/>
        </w:rPr>
        <w:t xml:space="preserve"> </w:t>
      </w:r>
      <w:r w:rsidRPr="00B51B13">
        <w:rPr>
          <w:rFonts w:cstheme="minorHAnsi"/>
          <w:b/>
          <w:bCs/>
          <w:color w:val="FF0000"/>
          <w:sz w:val="24"/>
          <w:szCs w:val="24"/>
        </w:rPr>
        <w:t>MANDATORY</w:t>
      </w:r>
      <w:r w:rsidRPr="00B51B13">
        <w:rPr>
          <w:rFonts w:cstheme="minorHAnsi"/>
          <w:sz w:val="24"/>
          <w:szCs w:val="24"/>
        </w:rPr>
        <w:t xml:space="preserve"> components: </w:t>
      </w:r>
    </w:p>
    <w:p w14:paraId="4D201422" w14:textId="77777777" w:rsidR="00F722D6" w:rsidRDefault="00F722D6" w:rsidP="00BC3A7F">
      <w:pPr>
        <w:spacing w:line="276" w:lineRule="auto"/>
        <w:rPr>
          <w:rFonts w:cstheme="minorHAnsi"/>
          <w:sz w:val="24"/>
          <w:szCs w:val="24"/>
        </w:rPr>
      </w:pPr>
    </w:p>
    <w:p w14:paraId="666415D5" w14:textId="63B451DF" w:rsidR="00B51B13" w:rsidRDefault="00B51B13" w:rsidP="00BC3A7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51B13">
        <w:rPr>
          <w:rFonts w:cstheme="minorHAnsi"/>
          <w:b/>
          <w:bCs/>
          <w:sz w:val="24"/>
          <w:szCs w:val="24"/>
        </w:rPr>
        <w:t>Prior Learning</w:t>
      </w:r>
      <w:r w:rsidR="00BC3A7F">
        <w:rPr>
          <w:rFonts w:cstheme="minorHAnsi"/>
          <w:b/>
          <w:bCs/>
          <w:sz w:val="24"/>
          <w:szCs w:val="24"/>
        </w:rPr>
        <w:t xml:space="preserve"> </w:t>
      </w:r>
      <w:r w:rsidRPr="00B51B13">
        <w:rPr>
          <w:rFonts w:cstheme="minorHAnsi"/>
          <w:sz w:val="24"/>
          <w:szCs w:val="24"/>
        </w:rPr>
        <w:t xml:space="preserve">– this is an </w:t>
      </w:r>
      <w:r w:rsidRPr="00B51B13">
        <w:rPr>
          <w:rFonts w:cstheme="minorHAnsi"/>
          <w:sz w:val="24"/>
          <w:szCs w:val="24"/>
          <w:u w:val="single"/>
        </w:rPr>
        <w:t>essential part</w:t>
      </w:r>
      <w:r w:rsidRPr="00B51B13">
        <w:rPr>
          <w:rFonts w:cstheme="minorHAnsi"/>
          <w:sz w:val="24"/>
          <w:szCs w:val="24"/>
        </w:rPr>
        <w:t xml:space="preserve"> of the training</w:t>
      </w:r>
      <w:r w:rsidR="00990E5E">
        <w:rPr>
          <w:rFonts w:cstheme="minorHAnsi"/>
          <w:sz w:val="24"/>
          <w:szCs w:val="24"/>
        </w:rPr>
        <w:t xml:space="preserve"> and</w:t>
      </w:r>
      <w:r w:rsidR="008926B8">
        <w:rPr>
          <w:rFonts w:cstheme="minorHAnsi"/>
          <w:sz w:val="24"/>
          <w:szCs w:val="24"/>
        </w:rPr>
        <w:t xml:space="preserve"> attendees</w:t>
      </w:r>
      <w:r w:rsidRPr="00B51B13">
        <w:rPr>
          <w:rFonts w:cstheme="minorHAnsi"/>
          <w:sz w:val="24"/>
          <w:szCs w:val="24"/>
        </w:rPr>
        <w:t xml:space="preserve"> will be expected to draw upon this knowledge </w:t>
      </w:r>
      <w:r w:rsidR="00990E5E">
        <w:rPr>
          <w:rFonts w:cstheme="minorHAnsi"/>
          <w:sz w:val="24"/>
          <w:szCs w:val="24"/>
        </w:rPr>
        <w:t xml:space="preserve">later </w:t>
      </w:r>
      <w:r w:rsidRPr="00B51B13">
        <w:rPr>
          <w:rFonts w:cstheme="minorHAnsi"/>
          <w:sz w:val="24"/>
          <w:szCs w:val="24"/>
        </w:rPr>
        <w:t xml:space="preserve">in the </w:t>
      </w:r>
      <w:r w:rsidR="00BC3A7F">
        <w:rPr>
          <w:rFonts w:cstheme="minorHAnsi"/>
          <w:sz w:val="24"/>
          <w:szCs w:val="24"/>
        </w:rPr>
        <w:t xml:space="preserve">interactive </w:t>
      </w:r>
      <w:r w:rsidRPr="00B51B13">
        <w:rPr>
          <w:rFonts w:cstheme="minorHAnsi"/>
          <w:sz w:val="24"/>
          <w:szCs w:val="24"/>
        </w:rPr>
        <w:t>se</w:t>
      </w:r>
      <w:r w:rsidR="00BC3A7F">
        <w:rPr>
          <w:rFonts w:cstheme="minorHAnsi"/>
          <w:sz w:val="24"/>
          <w:szCs w:val="24"/>
        </w:rPr>
        <w:t>ssion</w:t>
      </w:r>
      <w:r w:rsidR="00441835">
        <w:rPr>
          <w:rFonts w:cstheme="minorHAnsi"/>
          <w:sz w:val="24"/>
          <w:szCs w:val="24"/>
        </w:rPr>
        <w:t>.</w:t>
      </w:r>
    </w:p>
    <w:p w14:paraId="0D9020D3" w14:textId="77777777" w:rsidR="002D1343" w:rsidRPr="002D1343" w:rsidRDefault="0045699A" w:rsidP="002D134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D1343">
        <w:rPr>
          <w:rFonts w:cstheme="minorHAnsi"/>
          <w:b/>
          <w:bCs/>
          <w:sz w:val="24"/>
          <w:szCs w:val="24"/>
        </w:rPr>
        <w:t xml:space="preserve">E-Learning </w:t>
      </w:r>
      <w:r w:rsidR="00122270" w:rsidRPr="002D1343">
        <w:rPr>
          <w:rFonts w:cstheme="minorHAnsi"/>
          <w:sz w:val="24"/>
          <w:szCs w:val="24"/>
        </w:rPr>
        <w:t xml:space="preserve">relevant to your role as specified in the </w:t>
      </w:r>
      <w:r w:rsidR="002D1343" w:rsidRPr="002D1343">
        <w:rPr>
          <w:rFonts w:cstheme="minorHAnsi"/>
          <w:sz w:val="24"/>
          <w:szCs w:val="24"/>
        </w:rPr>
        <w:t>Interprofessional Immunisation Foundation and Update Training Handbook</w:t>
      </w:r>
    </w:p>
    <w:p w14:paraId="5EE68AB0" w14:textId="33E731E1" w:rsidR="008D53E1" w:rsidRDefault="008D53E1" w:rsidP="002D1343">
      <w:pPr>
        <w:pStyle w:val="ListParagraph"/>
        <w:numPr>
          <w:ilvl w:val="2"/>
          <w:numId w:val="6"/>
        </w:numPr>
        <w:spacing w:line="276" w:lineRule="auto"/>
        <w:rPr>
          <w:rFonts w:cstheme="minorHAnsi"/>
          <w:sz w:val="24"/>
          <w:szCs w:val="24"/>
        </w:rPr>
      </w:pPr>
      <w:hyperlink r:id="rId13" w:history="1">
        <w:r w:rsidRPr="001627E5">
          <w:rPr>
            <w:rStyle w:val="Hyperlink"/>
            <w:rFonts w:cstheme="minorHAnsi"/>
            <w:sz w:val="24"/>
            <w:szCs w:val="24"/>
          </w:rPr>
          <w:t>Immunisation (IMM)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57F4AF9" w14:textId="7D26654F" w:rsidR="00F63EEE" w:rsidRDefault="0057619C" w:rsidP="002D1343">
      <w:pPr>
        <w:pStyle w:val="ListParagraph"/>
        <w:numPr>
          <w:ilvl w:val="2"/>
          <w:numId w:val="6"/>
        </w:numPr>
        <w:spacing w:line="276" w:lineRule="auto"/>
        <w:rPr>
          <w:rFonts w:cstheme="minorHAnsi"/>
          <w:sz w:val="24"/>
          <w:szCs w:val="24"/>
        </w:rPr>
      </w:pPr>
      <w:hyperlink r:id="rId14" w:history="1">
        <w:r w:rsidRPr="00B50741">
          <w:rPr>
            <w:rStyle w:val="Hyperlink"/>
            <w:rFonts w:cstheme="minorHAnsi"/>
            <w:sz w:val="24"/>
            <w:szCs w:val="24"/>
          </w:rPr>
          <w:t>Flu Immunisation (FLU)</w:t>
        </w:r>
      </w:hyperlink>
    </w:p>
    <w:p w14:paraId="12494292" w14:textId="10C32896" w:rsidR="00F63EEE" w:rsidRPr="00122270" w:rsidRDefault="00F63EEE" w:rsidP="002D1343">
      <w:pPr>
        <w:pStyle w:val="ListParagraph"/>
        <w:numPr>
          <w:ilvl w:val="2"/>
          <w:numId w:val="6"/>
        </w:numPr>
        <w:spacing w:line="276" w:lineRule="auto"/>
        <w:rPr>
          <w:rFonts w:cstheme="minorHAnsi"/>
          <w:sz w:val="24"/>
          <w:szCs w:val="24"/>
        </w:rPr>
      </w:pPr>
      <w:hyperlink r:id="rId15" w:history="1">
        <w:r w:rsidRPr="00F63EEE">
          <w:rPr>
            <w:rStyle w:val="Hyperlink"/>
            <w:rFonts w:cstheme="minorHAnsi"/>
            <w:sz w:val="24"/>
            <w:szCs w:val="24"/>
          </w:rPr>
          <w:t>Core Knowledge for COVID-19 Vaccinators</w:t>
        </w:r>
      </w:hyperlink>
    </w:p>
    <w:p w14:paraId="0B893BC8" w14:textId="5BAC8DA2" w:rsidR="00B51B13" w:rsidRPr="000456A9" w:rsidRDefault="00B51B13" w:rsidP="009E262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8E2880">
        <w:rPr>
          <w:rFonts w:cstheme="minorHAnsi"/>
          <w:b/>
          <w:bCs/>
          <w:sz w:val="24"/>
          <w:szCs w:val="24"/>
        </w:rPr>
        <w:t>Read</w:t>
      </w:r>
      <w:r w:rsidRPr="008E2880">
        <w:rPr>
          <w:rFonts w:cstheme="minorHAnsi"/>
          <w:sz w:val="24"/>
          <w:szCs w:val="24"/>
        </w:rPr>
        <w:t xml:space="preserve"> </w:t>
      </w:r>
      <w:r w:rsidR="008E2880" w:rsidRPr="008E2880">
        <w:rPr>
          <w:rFonts w:cstheme="minorHAnsi"/>
          <w:sz w:val="24"/>
          <w:szCs w:val="24"/>
        </w:rPr>
        <w:t xml:space="preserve">‘The Green Book’ online immunisation against infectious disease </w:t>
      </w:r>
      <w:hyperlink r:id="rId16" w:history="1">
        <w:r w:rsidR="008E2880" w:rsidRPr="000456A9">
          <w:rPr>
            <w:rStyle w:val="Hyperlink"/>
            <w:rFonts w:cstheme="minorHAnsi"/>
            <w:sz w:val="24"/>
            <w:szCs w:val="24"/>
          </w:rPr>
          <w:t>part 1: principle, practices and procedures</w:t>
        </w:r>
      </w:hyperlink>
      <w:r w:rsidR="00441835" w:rsidRPr="000456A9">
        <w:rPr>
          <w:rFonts w:cstheme="minorHAnsi"/>
          <w:sz w:val="24"/>
          <w:szCs w:val="24"/>
        </w:rPr>
        <w:t xml:space="preserve">. </w:t>
      </w:r>
    </w:p>
    <w:p w14:paraId="4FBE246D" w14:textId="77777777" w:rsidR="00915EC8" w:rsidRPr="00915EC8" w:rsidRDefault="00B51B13" w:rsidP="009E2624">
      <w:pPr>
        <w:pStyle w:val="ListParagraph"/>
        <w:numPr>
          <w:ilvl w:val="0"/>
          <w:numId w:val="9"/>
        </w:numPr>
        <w:spacing w:line="276" w:lineRule="auto"/>
        <w:ind w:left="720"/>
        <w:rPr>
          <w:rFonts w:cstheme="minorHAnsi"/>
          <w:sz w:val="24"/>
          <w:szCs w:val="24"/>
        </w:rPr>
      </w:pPr>
      <w:r w:rsidRPr="000456A9">
        <w:rPr>
          <w:rFonts w:cstheme="minorHAnsi"/>
          <w:b/>
          <w:bCs/>
          <w:sz w:val="24"/>
          <w:szCs w:val="24"/>
        </w:rPr>
        <w:t>Watch</w:t>
      </w:r>
      <w:r w:rsidRPr="000456A9">
        <w:rPr>
          <w:rFonts w:cstheme="minorHAnsi"/>
          <w:sz w:val="24"/>
          <w:szCs w:val="24"/>
        </w:rPr>
        <w:t xml:space="preserve"> </w:t>
      </w:r>
      <w:r w:rsidR="00911244" w:rsidRPr="000456A9">
        <w:rPr>
          <w:rFonts w:cstheme="minorHAnsi"/>
          <w:sz w:val="24"/>
          <w:szCs w:val="24"/>
        </w:rPr>
        <w:t xml:space="preserve">the </w:t>
      </w:r>
      <w:hyperlink r:id="rId17" w:anchor="vidPlayer" w:history="1">
        <w:r w:rsidR="00911244" w:rsidRPr="000456A9">
          <w:rPr>
            <w:rStyle w:val="Hyperlink"/>
            <w:rFonts w:cstheme="minorHAnsi"/>
            <w:sz w:val="24"/>
            <w:szCs w:val="24"/>
          </w:rPr>
          <w:t>Immunology for Immuniser</w:t>
        </w:r>
        <w:r w:rsidR="009E2624" w:rsidRPr="000456A9">
          <w:rPr>
            <w:rStyle w:val="Hyperlink"/>
            <w:rFonts w:cstheme="minorHAnsi"/>
            <w:sz w:val="24"/>
            <w:szCs w:val="24"/>
          </w:rPr>
          <w:t>s a</w:t>
        </w:r>
        <w:r w:rsidR="00911244" w:rsidRPr="000456A9">
          <w:rPr>
            <w:rStyle w:val="Hyperlink"/>
            <w:rFonts w:cstheme="minorHAnsi"/>
            <w:sz w:val="24"/>
            <w:szCs w:val="24"/>
          </w:rPr>
          <w:t>nimations</w:t>
        </w:r>
      </w:hyperlink>
      <w:r w:rsidR="007525C0" w:rsidRPr="000456A9">
        <w:rPr>
          <w:rFonts w:cstheme="minorHAnsi"/>
          <w:sz w:val="24"/>
          <w:szCs w:val="24"/>
        </w:rPr>
        <w:t xml:space="preserve"> </w:t>
      </w:r>
    </w:p>
    <w:p w14:paraId="5E18DDB4" w14:textId="2AA603E6" w:rsidR="008E2880" w:rsidRPr="000456A9" w:rsidRDefault="00915EC8" w:rsidP="009E2624">
      <w:pPr>
        <w:pStyle w:val="ListParagraph"/>
        <w:numPr>
          <w:ilvl w:val="0"/>
          <w:numId w:val="9"/>
        </w:numPr>
        <w:spacing w:line="276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</w:t>
      </w:r>
      <w:r w:rsidR="0091579A" w:rsidRPr="000456A9">
        <w:rPr>
          <w:rFonts w:eastAsia="Calibri" w:cstheme="minorHAnsi"/>
          <w:b/>
          <w:bCs/>
          <w:sz w:val="24"/>
          <w:szCs w:val="24"/>
        </w:rPr>
        <w:t>atch</w:t>
      </w:r>
      <w:r w:rsidR="0091579A" w:rsidRPr="000456A9">
        <w:rPr>
          <w:rFonts w:eastAsia="Calibri" w:cstheme="minorHAnsi"/>
          <w:sz w:val="24"/>
          <w:szCs w:val="24"/>
        </w:rPr>
        <w:t xml:space="preserve"> the </w:t>
      </w:r>
      <w:hyperlink r:id="rId18" w:history="1">
        <w:r w:rsidR="0091579A" w:rsidRPr="000456A9">
          <w:rPr>
            <w:rFonts w:eastAsia="Calibri" w:cstheme="minorHAnsi"/>
            <w:color w:val="0000FF"/>
            <w:sz w:val="24"/>
            <w:szCs w:val="24"/>
            <w:u w:val="single"/>
          </w:rPr>
          <w:t>core topics of immunisation- training video</w:t>
        </w:r>
      </w:hyperlink>
      <w:r w:rsidR="0091579A" w:rsidRPr="000456A9">
        <w:rPr>
          <w:rFonts w:eastAsia="Calibri" w:cstheme="minorHAnsi"/>
          <w:sz w:val="24"/>
          <w:szCs w:val="24"/>
        </w:rPr>
        <w:t xml:space="preserve"> and complete the </w:t>
      </w:r>
      <w:hyperlink r:id="rId19" w:history="1">
        <w:r w:rsidR="0091579A" w:rsidRPr="00472F11">
          <w:rPr>
            <w:rStyle w:val="Hyperlink"/>
            <w:rFonts w:eastAsia="Calibri" w:cstheme="minorHAnsi"/>
            <w:b/>
            <w:bCs/>
            <w:sz w:val="24"/>
            <w:szCs w:val="24"/>
          </w:rPr>
          <w:t>‘core topics of immunisation training video worksheet’</w:t>
        </w:r>
        <w:r w:rsidRPr="00472F11">
          <w:rPr>
            <w:rStyle w:val="Hyperlink"/>
            <w:rFonts w:eastAsia="Calibri" w:cstheme="minorHAnsi"/>
            <w:sz w:val="24"/>
            <w:szCs w:val="24"/>
          </w:rPr>
          <w:t>.</w:t>
        </w:r>
      </w:hyperlink>
    </w:p>
    <w:p w14:paraId="0C5C4873" w14:textId="77777777" w:rsidR="00441835" w:rsidRDefault="00441835" w:rsidP="00AA3DA1">
      <w:pPr>
        <w:spacing w:line="276" w:lineRule="auto"/>
        <w:rPr>
          <w:rFonts w:cstheme="minorHAnsi"/>
          <w:sz w:val="24"/>
          <w:szCs w:val="24"/>
        </w:rPr>
      </w:pPr>
    </w:p>
    <w:p w14:paraId="4EC8A1F8" w14:textId="127E91B9" w:rsidR="00AA3DA1" w:rsidRPr="00AA3DA1" w:rsidRDefault="00AA3DA1" w:rsidP="00AA3DA1">
      <w:pPr>
        <w:spacing w:line="276" w:lineRule="auto"/>
        <w:rPr>
          <w:rFonts w:cstheme="minorHAnsi"/>
          <w:sz w:val="24"/>
          <w:szCs w:val="24"/>
        </w:rPr>
      </w:pPr>
      <w:r w:rsidRPr="00AA3DA1">
        <w:rPr>
          <w:rFonts w:cstheme="minorHAnsi"/>
          <w:sz w:val="24"/>
          <w:szCs w:val="24"/>
        </w:rPr>
        <w:t xml:space="preserve">It is expected </w:t>
      </w:r>
      <w:r w:rsidR="00077D29">
        <w:rPr>
          <w:rFonts w:cstheme="minorHAnsi"/>
          <w:sz w:val="24"/>
          <w:szCs w:val="24"/>
        </w:rPr>
        <w:t>employers</w:t>
      </w:r>
      <w:r w:rsidRPr="00AA3DA1">
        <w:rPr>
          <w:rFonts w:cstheme="minorHAnsi"/>
          <w:sz w:val="24"/>
          <w:szCs w:val="24"/>
        </w:rPr>
        <w:t xml:space="preserve"> allow</w:t>
      </w:r>
      <w:r w:rsidR="00077D29">
        <w:rPr>
          <w:rFonts w:cstheme="minorHAnsi"/>
          <w:sz w:val="24"/>
          <w:szCs w:val="24"/>
        </w:rPr>
        <w:t xml:space="preserve"> </w:t>
      </w:r>
      <w:r w:rsidRPr="00AA3DA1">
        <w:rPr>
          <w:rFonts w:cstheme="minorHAnsi"/>
          <w:sz w:val="24"/>
          <w:szCs w:val="24"/>
        </w:rPr>
        <w:t>a</w:t>
      </w:r>
      <w:r w:rsidR="00077D29">
        <w:rPr>
          <w:rFonts w:cstheme="minorHAnsi"/>
          <w:sz w:val="24"/>
          <w:szCs w:val="24"/>
        </w:rPr>
        <w:t>ttendees a</w:t>
      </w:r>
      <w:r w:rsidRPr="00AA3DA1">
        <w:rPr>
          <w:rFonts w:cstheme="minorHAnsi"/>
          <w:sz w:val="24"/>
          <w:szCs w:val="24"/>
        </w:rPr>
        <w:t xml:space="preserve"> </w:t>
      </w:r>
      <w:r w:rsidRPr="00AA3DA1">
        <w:rPr>
          <w:rFonts w:cstheme="minorHAnsi"/>
          <w:b/>
          <w:bCs/>
          <w:sz w:val="24"/>
          <w:szCs w:val="24"/>
        </w:rPr>
        <w:t xml:space="preserve">minimum of </w:t>
      </w:r>
      <w:r w:rsidR="00914DA5">
        <w:rPr>
          <w:rFonts w:cstheme="minorHAnsi"/>
          <w:b/>
          <w:bCs/>
          <w:sz w:val="24"/>
          <w:szCs w:val="24"/>
        </w:rPr>
        <w:t xml:space="preserve">1 </w:t>
      </w:r>
      <w:r w:rsidR="00B0389C">
        <w:rPr>
          <w:rFonts w:cstheme="minorHAnsi"/>
          <w:b/>
          <w:bCs/>
          <w:sz w:val="24"/>
          <w:szCs w:val="24"/>
        </w:rPr>
        <w:t xml:space="preserve">½ </w:t>
      </w:r>
      <w:r w:rsidR="00B0389C" w:rsidRPr="00AA3DA1">
        <w:rPr>
          <w:rFonts w:cstheme="minorHAnsi"/>
          <w:b/>
          <w:bCs/>
          <w:sz w:val="24"/>
          <w:szCs w:val="24"/>
        </w:rPr>
        <w:t>days</w:t>
      </w:r>
      <w:r w:rsidRPr="00AA3DA1">
        <w:rPr>
          <w:rFonts w:cstheme="minorHAnsi"/>
          <w:b/>
          <w:bCs/>
          <w:sz w:val="24"/>
          <w:szCs w:val="24"/>
        </w:rPr>
        <w:t xml:space="preserve"> to complete the pre-work</w:t>
      </w:r>
      <w:r w:rsidRPr="00AA3DA1">
        <w:rPr>
          <w:rFonts w:cstheme="minorHAnsi"/>
          <w:sz w:val="24"/>
          <w:szCs w:val="24"/>
        </w:rPr>
        <w:t xml:space="preserve"> outlined above </w:t>
      </w:r>
      <w:r>
        <w:rPr>
          <w:rFonts w:cstheme="minorHAnsi"/>
          <w:sz w:val="24"/>
          <w:szCs w:val="24"/>
        </w:rPr>
        <w:t xml:space="preserve">as </w:t>
      </w:r>
      <w:r w:rsidRPr="00AA3DA1">
        <w:rPr>
          <w:rFonts w:cstheme="minorHAnsi"/>
          <w:sz w:val="24"/>
          <w:szCs w:val="24"/>
        </w:rPr>
        <w:t xml:space="preserve">this is an integral part of this training, for which knowledge and understanding will be assessed during the </w:t>
      </w:r>
      <w:r>
        <w:rPr>
          <w:rFonts w:cstheme="minorHAnsi"/>
          <w:sz w:val="24"/>
          <w:szCs w:val="24"/>
        </w:rPr>
        <w:t xml:space="preserve">interactive </w:t>
      </w:r>
      <w:r w:rsidRPr="00AA3DA1">
        <w:rPr>
          <w:rFonts w:cstheme="minorHAnsi"/>
          <w:sz w:val="24"/>
          <w:szCs w:val="24"/>
        </w:rPr>
        <w:t>session.</w:t>
      </w:r>
    </w:p>
    <w:p w14:paraId="3FA2BDCC" w14:textId="77777777" w:rsidR="00953B83" w:rsidRPr="00953B83" w:rsidRDefault="00953B83" w:rsidP="00953B83">
      <w:pPr>
        <w:pStyle w:val="ListParagraph"/>
        <w:spacing w:line="276" w:lineRule="auto"/>
        <w:ind w:left="360"/>
        <w:rPr>
          <w:rFonts w:cstheme="minorHAnsi"/>
          <w:sz w:val="24"/>
          <w:szCs w:val="24"/>
        </w:rPr>
      </w:pPr>
    </w:p>
    <w:p w14:paraId="1642544A" w14:textId="7162C2E1" w:rsidR="00B51B13" w:rsidRDefault="00B51B13" w:rsidP="00BC3A7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51B13">
        <w:rPr>
          <w:rFonts w:cstheme="minorHAnsi"/>
          <w:b/>
          <w:bCs/>
          <w:sz w:val="24"/>
          <w:szCs w:val="24"/>
        </w:rPr>
        <w:t>Interactive Session</w:t>
      </w:r>
      <w:r w:rsidR="009A4180">
        <w:rPr>
          <w:rFonts w:cstheme="minorHAnsi"/>
          <w:b/>
          <w:bCs/>
          <w:sz w:val="24"/>
          <w:szCs w:val="24"/>
        </w:rPr>
        <w:t xml:space="preserve"> (virtual/in person) </w:t>
      </w:r>
      <w:r w:rsidRPr="00B51B13">
        <w:rPr>
          <w:rFonts w:cstheme="minorHAnsi"/>
          <w:sz w:val="24"/>
          <w:szCs w:val="24"/>
        </w:rPr>
        <w:t xml:space="preserve">– this session explores and builds upon the content covered in the prior learning. </w:t>
      </w:r>
      <w:r w:rsidR="009D5D51">
        <w:rPr>
          <w:rFonts w:cstheme="minorHAnsi"/>
          <w:sz w:val="24"/>
          <w:szCs w:val="24"/>
        </w:rPr>
        <w:t xml:space="preserve">Attendees </w:t>
      </w:r>
      <w:r w:rsidRPr="00B51B13">
        <w:rPr>
          <w:rFonts w:cstheme="minorHAnsi"/>
          <w:sz w:val="24"/>
          <w:szCs w:val="24"/>
        </w:rPr>
        <w:t>will be expected to participate in quizzes, case study and scenario discussions with peers</w:t>
      </w:r>
      <w:r w:rsidR="009A4180">
        <w:rPr>
          <w:rFonts w:cstheme="minorHAnsi"/>
          <w:sz w:val="24"/>
          <w:szCs w:val="24"/>
        </w:rPr>
        <w:t xml:space="preserve">. </w:t>
      </w:r>
      <w:r w:rsidR="00204800" w:rsidRPr="00BF0471">
        <w:rPr>
          <w:rFonts w:cstheme="minorHAnsi"/>
          <w:i/>
          <w:iCs/>
          <w:sz w:val="24"/>
          <w:szCs w:val="24"/>
        </w:rPr>
        <w:t xml:space="preserve">Registered professionals will attend a slightly longer session with HCSWs leaving approx. </w:t>
      </w:r>
      <w:r w:rsidR="00130C7F">
        <w:rPr>
          <w:rFonts w:cstheme="minorHAnsi"/>
          <w:i/>
          <w:iCs/>
          <w:sz w:val="24"/>
          <w:szCs w:val="24"/>
        </w:rPr>
        <w:t xml:space="preserve">60 </w:t>
      </w:r>
      <w:r w:rsidR="00204800" w:rsidRPr="00BF0471">
        <w:rPr>
          <w:rFonts w:cstheme="minorHAnsi"/>
          <w:i/>
          <w:iCs/>
          <w:sz w:val="24"/>
          <w:szCs w:val="24"/>
        </w:rPr>
        <w:t>mins earlier.</w:t>
      </w:r>
      <w:r w:rsidR="00204800">
        <w:rPr>
          <w:rFonts w:cstheme="minorHAnsi"/>
          <w:sz w:val="24"/>
          <w:szCs w:val="24"/>
        </w:rPr>
        <w:t xml:space="preserve"> </w:t>
      </w:r>
    </w:p>
    <w:p w14:paraId="0B705CB8" w14:textId="77777777" w:rsidR="00953B83" w:rsidRPr="00953B83" w:rsidRDefault="00953B83" w:rsidP="00953B83">
      <w:pPr>
        <w:pStyle w:val="ListParagraph"/>
        <w:spacing w:line="276" w:lineRule="auto"/>
        <w:ind w:left="360"/>
        <w:rPr>
          <w:rFonts w:cstheme="minorHAnsi"/>
          <w:sz w:val="24"/>
          <w:szCs w:val="24"/>
        </w:rPr>
      </w:pPr>
    </w:p>
    <w:p w14:paraId="7F6ED4C6" w14:textId="48E8B1C8" w:rsidR="00B51B13" w:rsidRDefault="008A5F97" w:rsidP="00BC3A7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C7962">
        <w:rPr>
          <w:rFonts w:cstheme="minorHAnsi"/>
          <w:b/>
          <w:bCs/>
          <w:sz w:val="24"/>
          <w:szCs w:val="24"/>
        </w:rPr>
        <w:t xml:space="preserve">Competency sign off </w:t>
      </w:r>
      <w:r w:rsidR="00E94DE9" w:rsidRPr="000C7962">
        <w:rPr>
          <w:rFonts w:cstheme="minorHAnsi"/>
          <w:sz w:val="24"/>
          <w:szCs w:val="24"/>
        </w:rPr>
        <w:t>–</w:t>
      </w:r>
      <w:r w:rsidRPr="000C7962">
        <w:rPr>
          <w:rFonts w:cstheme="minorHAnsi"/>
          <w:sz w:val="24"/>
          <w:szCs w:val="24"/>
        </w:rPr>
        <w:t xml:space="preserve"> </w:t>
      </w:r>
      <w:r w:rsidR="00E94DE9" w:rsidRPr="000C7962">
        <w:rPr>
          <w:rFonts w:cstheme="minorHAnsi"/>
          <w:sz w:val="24"/>
          <w:szCs w:val="24"/>
        </w:rPr>
        <w:t xml:space="preserve">On completion of the prior learning and interactive session attendees will be required to have their competency </w:t>
      </w:r>
      <w:r w:rsidR="0093283A">
        <w:rPr>
          <w:rFonts w:cstheme="minorHAnsi"/>
          <w:sz w:val="24"/>
          <w:szCs w:val="24"/>
        </w:rPr>
        <w:t>assessed</w:t>
      </w:r>
      <w:r w:rsidR="00E94DE9" w:rsidRPr="000C7962">
        <w:rPr>
          <w:rFonts w:cstheme="minorHAnsi"/>
          <w:sz w:val="24"/>
          <w:szCs w:val="24"/>
        </w:rPr>
        <w:t xml:space="preserve"> in practice by an appropriate supervisor/assessor. </w:t>
      </w:r>
      <w:r w:rsidR="002B7FD8" w:rsidRPr="000C7962">
        <w:rPr>
          <w:rFonts w:cstheme="minorHAnsi"/>
          <w:sz w:val="24"/>
          <w:szCs w:val="24"/>
        </w:rPr>
        <w:t xml:space="preserve">More information and links to </w:t>
      </w:r>
      <w:r w:rsidR="000C7962" w:rsidRPr="000C7962">
        <w:rPr>
          <w:rFonts w:cstheme="minorHAnsi"/>
          <w:sz w:val="24"/>
          <w:szCs w:val="24"/>
        </w:rPr>
        <w:t>competency documents</w:t>
      </w:r>
      <w:r w:rsidR="002B7FD8" w:rsidRPr="000C7962">
        <w:rPr>
          <w:rFonts w:cstheme="minorHAnsi"/>
          <w:sz w:val="24"/>
          <w:szCs w:val="24"/>
        </w:rPr>
        <w:t xml:space="preserve"> are included within the immunisation foundations training workbook. </w:t>
      </w:r>
    </w:p>
    <w:p w14:paraId="50C68F68" w14:textId="77777777" w:rsidR="000C7962" w:rsidRPr="000C7962" w:rsidRDefault="000C7962" w:rsidP="000C7962">
      <w:pPr>
        <w:pStyle w:val="ListParagraph"/>
        <w:rPr>
          <w:rFonts w:cstheme="minorHAnsi"/>
          <w:sz w:val="24"/>
          <w:szCs w:val="24"/>
        </w:rPr>
      </w:pPr>
    </w:p>
    <w:p w14:paraId="5D7E4915" w14:textId="77777777" w:rsidR="000C7962" w:rsidRPr="000C7962" w:rsidRDefault="000C7962" w:rsidP="000C7962">
      <w:pPr>
        <w:pStyle w:val="ListParagraph"/>
        <w:spacing w:line="276" w:lineRule="auto"/>
        <w:ind w:left="360"/>
        <w:rPr>
          <w:rFonts w:cstheme="minorHAnsi"/>
          <w:sz w:val="24"/>
          <w:szCs w:val="24"/>
        </w:rPr>
      </w:pPr>
    </w:p>
    <w:p w14:paraId="141BBACA" w14:textId="77777777" w:rsidR="00BC3A7F" w:rsidRDefault="00BC3A7F" w:rsidP="00BC3A7F">
      <w:pPr>
        <w:spacing w:line="276" w:lineRule="auto"/>
        <w:rPr>
          <w:rFonts w:cstheme="minorHAnsi"/>
          <w:sz w:val="24"/>
          <w:szCs w:val="24"/>
        </w:rPr>
      </w:pPr>
    </w:p>
    <w:p w14:paraId="7DD5F40F" w14:textId="7BF49EF4" w:rsidR="00BC3A7F" w:rsidRPr="00BC3A7F" w:rsidRDefault="00BC3A7F" w:rsidP="00BC3A7F">
      <w:pPr>
        <w:spacing w:line="276" w:lineRule="auto"/>
        <w:jc w:val="center"/>
        <w:rPr>
          <w:rFonts w:ascii="Cavolini" w:hAnsi="Cavolini" w:cs="Cavolini"/>
          <w:sz w:val="24"/>
          <w:szCs w:val="24"/>
        </w:rPr>
      </w:pPr>
      <w:r w:rsidRPr="00BC3A7F">
        <w:rPr>
          <w:rFonts w:ascii="Cavolini" w:hAnsi="Cavolini" w:cs="Cavolini"/>
          <w:b/>
          <w:bCs/>
          <w:sz w:val="24"/>
          <w:szCs w:val="24"/>
        </w:rPr>
        <w:t xml:space="preserve">If you have any questions regarding this training, please contact us via the following email </w:t>
      </w:r>
      <w:hyperlink r:id="rId20" w:history="1">
        <w:r w:rsidRPr="00BC3A7F">
          <w:rPr>
            <w:rStyle w:val="Hyperlink"/>
            <w:rFonts w:ascii="Cavolini" w:hAnsi="Cavolini" w:cs="Cavolini"/>
            <w:sz w:val="24"/>
            <w:szCs w:val="24"/>
          </w:rPr>
          <w:t>kernowhealthcic.workforce@nhs.net</w:t>
        </w:r>
      </w:hyperlink>
      <w:r w:rsidRPr="00BC3A7F">
        <w:rPr>
          <w:rFonts w:ascii="Cavolini" w:hAnsi="Cavolini" w:cs="Cavolini"/>
          <w:sz w:val="24"/>
          <w:szCs w:val="24"/>
        </w:rPr>
        <w:t xml:space="preserve"> </w:t>
      </w:r>
    </w:p>
    <w:sectPr w:rsidR="00BC3A7F" w:rsidRPr="00BC3A7F" w:rsidSect="000456A9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EED2" w14:textId="77777777" w:rsidR="00D048BF" w:rsidRDefault="00D048BF" w:rsidP="00B51B13">
      <w:r>
        <w:separator/>
      </w:r>
    </w:p>
  </w:endnote>
  <w:endnote w:type="continuationSeparator" w:id="0">
    <w:p w14:paraId="70D719DE" w14:textId="77777777" w:rsidR="00D048BF" w:rsidRDefault="00D048BF" w:rsidP="00B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E8E8" w14:textId="246ECC5C" w:rsidR="00BC3A7F" w:rsidRDefault="00BC3A7F">
    <w:pPr>
      <w:pStyle w:val="Footer"/>
    </w:pPr>
    <w:r>
      <w:t xml:space="preserve">KH-CTH </w:t>
    </w:r>
    <w:r w:rsidR="000456A9">
      <w:t>14/05/2025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4473" w14:textId="77777777" w:rsidR="00D048BF" w:rsidRDefault="00D048BF" w:rsidP="00B51B13">
      <w:r>
        <w:separator/>
      </w:r>
    </w:p>
  </w:footnote>
  <w:footnote w:type="continuationSeparator" w:id="0">
    <w:p w14:paraId="26D3C8CA" w14:textId="77777777" w:rsidR="00D048BF" w:rsidRDefault="00D048BF" w:rsidP="00B5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1844" w14:textId="3AA46C08" w:rsidR="00B51B13" w:rsidRDefault="000456A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93568" behindDoc="1" locked="0" layoutInCell="1" allowOverlap="1" wp14:anchorId="470C9EE7" wp14:editId="0694B9E3">
          <wp:simplePos x="0" y="0"/>
          <wp:positionH relativeFrom="margin">
            <wp:posOffset>-352425</wp:posOffset>
          </wp:positionH>
          <wp:positionV relativeFrom="paragraph">
            <wp:posOffset>-49530</wp:posOffset>
          </wp:positionV>
          <wp:extent cx="542925" cy="542925"/>
          <wp:effectExtent l="0" t="0" r="9525" b="9525"/>
          <wp:wrapNone/>
          <wp:docPr id="683075928" name="Picture 2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075928" name="Picture 2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282">
      <w:rPr>
        <w:noProof/>
      </w:rPr>
      <w:drawing>
        <wp:anchor distT="0" distB="0" distL="114300" distR="114300" simplePos="0" relativeHeight="251657216" behindDoc="1" locked="0" layoutInCell="1" allowOverlap="1" wp14:anchorId="33B2BE03" wp14:editId="2287A84D">
          <wp:simplePos x="0" y="0"/>
          <wp:positionH relativeFrom="column">
            <wp:posOffset>4514850</wp:posOffset>
          </wp:positionH>
          <wp:positionV relativeFrom="paragraph">
            <wp:posOffset>-59055</wp:posOffset>
          </wp:positionV>
          <wp:extent cx="1741966" cy="502218"/>
          <wp:effectExtent l="0" t="0" r="0" b="0"/>
          <wp:wrapNone/>
          <wp:docPr id="1347330173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30173" name="Picture 1" descr="A blue and white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86" cy="503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75A"/>
    <w:multiLevelType w:val="hybridMultilevel"/>
    <w:tmpl w:val="C3FE58C2"/>
    <w:lvl w:ilvl="0" w:tplc="C2F0F50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64C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964250"/>
    <w:multiLevelType w:val="hybridMultilevel"/>
    <w:tmpl w:val="50AEA156"/>
    <w:lvl w:ilvl="0" w:tplc="C2F0F5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F4700"/>
    <w:multiLevelType w:val="hybridMultilevel"/>
    <w:tmpl w:val="6854B83A"/>
    <w:lvl w:ilvl="0" w:tplc="0BB8DF1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707B2"/>
    <w:multiLevelType w:val="hybridMultilevel"/>
    <w:tmpl w:val="AF86526A"/>
    <w:lvl w:ilvl="0" w:tplc="C2F0F5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2089"/>
    <w:multiLevelType w:val="hybridMultilevel"/>
    <w:tmpl w:val="9CE0B3E6"/>
    <w:lvl w:ilvl="0" w:tplc="C2F0F5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20426"/>
    <w:multiLevelType w:val="hybridMultilevel"/>
    <w:tmpl w:val="AE1CF446"/>
    <w:lvl w:ilvl="0" w:tplc="C2F0F5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111E"/>
    <w:multiLevelType w:val="hybridMultilevel"/>
    <w:tmpl w:val="9C70FB80"/>
    <w:lvl w:ilvl="0" w:tplc="C2F0F5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74738"/>
    <w:multiLevelType w:val="hybridMultilevel"/>
    <w:tmpl w:val="F8E02C22"/>
    <w:lvl w:ilvl="0" w:tplc="C2F0F5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6C71C4"/>
    <w:multiLevelType w:val="hybridMultilevel"/>
    <w:tmpl w:val="8E1C478C"/>
    <w:lvl w:ilvl="0" w:tplc="573866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5766">
    <w:abstractNumId w:val="1"/>
  </w:num>
  <w:num w:numId="2" w16cid:durableId="1692535227">
    <w:abstractNumId w:val="8"/>
  </w:num>
  <w:num w:numId="3" w16cid:durableId="1281759502">
    <w:abstractNumId w:val="7"/>
  </w:num>
  <w:num w:numId="4" w16cid:durableId="394788954">
    <w:abstractNumId w:val="5"/>
  </w:num>
  <w:num w:numId="5" w16cid:durableId="959338301">
    <w:abstractNumId w:val="2"/>
  </w:num>
  <w:num w:numId="6" w16cid:durableId="1932398429">
    <w:abstractNumId w:val="3"/>
  </w:num>
  <w:num w:numId="7" w16cid:durableId="135689398">
    <w:abstractNumId w:val="4"/>
  </w:num>
  <w:num w:numId="8" w16cid:durableId="532155106">
    <w:abstractNumId w:val="6"/>
  </w:num>
  <w:num w:numId="9" w16cid:durableId="1156796314">
    <w:abstractNumId w:val="0"/>
  </w:num>
  <w:num w:numId="10" w16cid:durableId="108282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13"/>
    <w:rsid w:val="00037B4D"/>
    <w:rsid w:val="000456A9"/>
    <w:rsid w:val="00077D29"/>
    <w:rsid w:val="000A3A83"/>
    <w:rsid w:val="000C7962"/>
    <w:rsid w:val="00122270"/>
    <w:rsid w:val="00130C7F"/>
    <w:rsid w:val="00137ACE"/>
    <w:rsid w:val="001627E5"/>
    <w:rsid w:val="00194703"/>
    <w:rsid w:val="001C6A1C"/>
    <w:rsid w:val="001E2ACF"/>
    <w:rsid w:val="001F7A0F"/>
    <w:rsid w:val="00204800"/>
    <w:rsid w:val="00292229"/>
    <w:rsid w:val="002B611D"/>
    <w:rsid w:val="002B7FD8"/>
    <w:rsid w:val="002D1343"/>
    <w:rsid w:val="002E177A"/>
    <w:rsid w:val="0033655F"/>
    <w:rsid w:val="0042627D"/>
    <w:rsid w:val="00441835"/>
    <w:rsid w:val="0045699A"/>
    <w:rsid w:val="00472F11"/>
    <w:rsid w:val="004B0282"/>
    <w:rsid w:val="00502777"/>
    <w:rsid w:val="00536970"/>
    <w:rsid w:val="0055726B"/>
    <w:rsid w:val="0057619C"/>
    <w:rsid w:val="005D26DF"/>
    <w:rsid w:val="00625F49"/>
    <w:rsid w:val="006F5F4D"/>
    <w:rsid w:val="00703C99"/>
    <w:rsid w:val="00712D37"/>
    <w:rsid w:val="007525C0"/>
    <w:rsid w:val="007A3177"/>
    <w:rsid w:val="007C6940"/>
    <w:rsid w:val="00844E94"/>
    <w:rsid w:val="00853E95"/>
    <w:rsid w:val="008926B8"/>
    <w:rsid w:val="008A5F97"/>
    <w:rsid w:val="008D53E1"/>
    <w:rsid w:val="008E2880"/>
    <w:rsid w:val="00911244"/>
    <w:rsid w:val="00914DA5"/>
    <w:rsid w:val="0091579A"/>
    <w:rsid w:val="00915EC8"/>
    <w:rsid w:val="0093283A"/>
    <w:rsid w:val="00953B83"/>
    <w:rsid w:val="009565AE"/>
    <w:rsid w:val="00990E5E"/>
    <w:rsid w:val="009A4180"/>
    <w:rsid w:val="009A67F4"/>
    <w:rsid w:val="009D5D51"/>
    <w:rsid w:val="009E2624"/>
    <w:rsid w:val="00A72303"/>
    <w:rsid w:val="00A9722A"/>
    <w:rsid w:val="00AA3DA1"/>
    <w:rsid w:val="00B0389C"/>
    <w:rsid w:val="00B26372"/>
    <w:rsid w:val="00B50741"/>
    <w:rsid w:val="00B51B13"/>
    <w:rsid w:val="00B66A58"/>
    <w:rsid w:val="00B8731E"/>
    <w:rsid w:val="00BB56FE"/>
    <w:rsid w:val="00BC3A7F"/>
    <w:rsid w:val="00BF0471"/>
    <w:rsid w:val="00C00F1E"/>
    <w:rsid w:val="00C221A4"/>
    <w:rsid w:val="00C371FD"/>
    <w:rsid w:val="00C53738"/>
    <w:rsid w:val="00C5744A"/>
    <w:rsid w:val="00C8192E"/>
    <w:rsid w:val="00D048BF"/>
    <w:rsid w:val="00D17F70"/>
    <w:rsid w:val="00D50E08"/>
    <w:rsid w:val="00E7044F"/>
    <w:rsid w:val="00E94DE9"/>
    <w:rsid w:val="00EA0B49"/>
    <w:rsid w:val="00EB5BC0"/>
    <w:rsid w:val="00ED4727"/>
    <w:rsid w:val="00F20D29"/>
    <w:rsid w:val="00F63EEE"/>
    <w:rsid w:val="00F722D6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BBC4"/>
  <w15:chartTrackingRefBased/>
  <w15:docId w15:val="{6E80D5AB-796A-4F0F-8F81-0128EE01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1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B13"/>
  </w:style>
  <w:style w:type="paragraph" w:styleId="Footer">
    <w:name w:val="footer"/>
    <w:basedOn w:val="Normal"/>
    <w:link w:val="FooterChar"/>
    <w:uiPriority w:val="99"/>
    <w:unhideWhenUsed/>
    <w:rsid w:val="00B51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13"/>
  </w:style>
  <w:style w:type="paragraph" w:styleId="ListParagraph">
    <w:name w:val="List Paragraph"/>
    <w:basedOn w:val="Normal"/>
    <w:uiPriority w:val="34"/>
    <w:qFormat/>
    <w:rsid w:val="00B51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-lfh.org.uk/Catalogue/Index?HierarchyId=0_39333&amp;programmeId=39333" TargetMode="External"/><Relationship Id="rId18" Type="http://schemas.openxmlformats.org/officeDocument/2006/relationships/hyperlink" Target="https://youtu.be/E1fqb1tTGtM?si=Dm9T_qVGgQ4pDJG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immunisation-training-of-healthcare-support-workers-national-minimum-standards-and-core-curriculum" TargetMode="External"/><Relationship Id="rId17" Type="http://schemas.openxmlformats.org/officeDocument/2006/relationships/hyperlink" Target="https://immunologyanimation.ph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immunisation-against-infectious-disease-the-green-book-front-cover-and-contents-page" TargetMode="External"/><Relationship Id="rId20" Type="http://schemas.openxmlformats.org/officeDocument/2006/relationships/hyperlink" Target="mailto:kernowhealthcic.workforce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national-minimum-standards-and-core-curriculum-for-immunisation-training-for-registered-healthcare-practitioner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rtal.e-lfh.org.uk/Component/Details/67623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kernowhealthcic.org.uk/wp-content/uploads/2025/05/Core-Topics-of-Immunisation-training-Video-Worksheet-V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e-lfh.org.uk/Component/Details/40552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4" ma:contentTypeDescription="Create a new document." ma:contentTypeScope="" ma:versionID="4f2a81f335aee502160e8bb8b200139d">
  <xsd:schema xmlns:xsd="http://www.w3.org/2001/XMLSchema" xmlns:xs="http://www.w3.org/2001/XMLSchema" xmlns:p="http://schemas.microsoft.com/office/2006/metadata/properties" xmlns:ns2="f20c8ee1-5c4d-4fe6-a884-671ceaf52101" xmlns:ns3="daf8bb99-f63a-4e33-b200-ec62ac311639" targetNamespace="http://schemas.microsoft.com/office/2006/metadata/properties" ma:root="true" ma:fieldsID="d5196fc91f00101877fff1f4695b67ec" ns2:_="" ns3:_=""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B7CB1-2DBE-40FB-8D45-81D9F86CE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0E0C1-E20D-4F7C-8694-DF182B68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C7F98-7B6B-4935-8F94-E025E64D0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4B309-ACE1-4A74-A1DC-8A51D88C6F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Borders</dc:creator>
  <cp:keywords/>
  <dc:description/>
  <cp:lastModifiedBy>MITCHELL, Tina (KERNOW HEALTH CIC)</cp:lastModifiedBy>
  <cp:revision>4</cp:revision>
  <dcterms:created xsi:type="dcterms:W3CDTF">2025-05-22T12:52:00Z</dcterms:created>
  <dcterms:modified xsi:type="dcterms:W3CDTF">2025-05-22T13:02:00Z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</Properties>
</file>