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53CEBD" w14:textId="6F2ECFD8" w:rsidR="0055569C" w:rsidRPr="0055569C" w:rsidRDefault="0055569C" w:rsidP="0055569C">
      <w:pPr>
        <w:jc w:val="center"/>
        <w:rPr>
          <w:rFonts w:ascii="Arial" w:hAnsi="Arial" w:cs="Arial"/>
          <w:b/>
          <w:bCs/>
          <w:color w:val="auto"/>
          <w:sz w:val="28"/>
          <w:szCs w:val="28"/>
        </w:rPr>
      </w:pPr>
      <w:r w:rsidRPr="0055569C">
        <w:rPr>
          <w:rFonts w:ascii="Arial" w:hAnsi="Arial" w:cs="Arial"/>
          <w:b/>
          <w:bCs/>
          <w:color w:val="auto"/>
          <w:sz w:val="28"/>
          <w:szCs w:val="28"/>
        </w:rPr>
        <w:t>Fundamentals in General Practice Nursing for Nursing Associates</w:t>
      </w:r>
    </w:p>
    <w:p w14:paraId="1C8B9319" w14:textId="40FC790F" w:rsidR="0055569C" w:rsidRPr="0055569C" w:rsidRDefault="0055569C" w:rsidP="0055569C">
      <w:pPr>
        <w:jc w:val="center"/>
        <w:rPr>
          <w:rFonts w:ascii="Arial" w:hAnsi="Arial" w:cs="Arial"/>
          <w:b/>
          <w:bCs/>
          <w:color w:val="auto"/>
          <w:sz w:val="28"/>
          <w:szCs w:val="28"/>
        </w:rPr>
      </w:pPr>
      <w:r w:rsidRPr="0055569C">
        <w:rPr>
          <w:rFonts w:ascii="Arial" w:hAnsi="Arial" w:cs="Arial"/>
          <w:b/>
          <w:bCs/>
          <w:color w:val="auto"/>
          <w:sz w:val="28"/>
          <w:szCs w:val="28"/>
        </w:rPr>
        <w:t>Pilot March 2025 Exeter campus</w:t>
      </w:r>
    </w:p>
    <w:p w14:paraId="07C27F79" w14:textId="77777777" w:rsidR="0055569C" w:rsidRDefault="0055569C" w:rsidP="0055569C">
      <w:pPr>
        <w:rPr>
          <w:rFonts w:ascii="Arial" w:hAnsi="Arial" w:cs="Arial"/>
          <w:color w:val="auto"/>
        </w:rPr>
      </w:pPr>
    </w:p>
    <w:p w14:paraId="136299DA" w14:textId="3196F85B" w:rsidR="0055569C" w:rsidRDefault="0055569C" w:rsidP="0055569C">
      <w:pPr>
        <w:rPr>
          <w:rFonts w:ascii="Arial" w:hAnsi="Arial" w:cs="Arial"/>
          <w:color w:val="auto"/>
        </w:rPr>
      </w:pPr>
      <w:r>
        <w:rPr>
          <w:rFonts w:ascii="Arial" w:hAnsi="Arial" w:cs="Arial"/>
          <w:color w:val="auto"/>
        </w:rPr>
        <w:t>W</w:t>
      </w:r>
      <w:r>
        <w:rPr>
          <w:rFonts w:ascii="Arial" w:hAnsi="Arial" w:cs="Arial"/>
          <w:color w:val="auto"/>
        </w:rPr>
        <w:t xml:space="preserve">e are now accepting nursing associates onto the GPN fundamentals programme. We recognise that RNA’s may have limited information and HEI educational support in primary once qualified. Following discussion with national and regional primary leaders, we are accepting </w:t>
      </w:r>
      <w:proofErr w:type="gramStart"/>
      <w:r>
        <w:rPr>
          <w:rFonts w:ascii="Arial" w:hAnsi="Arial" w:cs="Arial"/>
          <w:color w:val="auto"/>
        </w:rPr>
        <w:t>RNA’s</w:t>
      </w:r>
      <w:proofErr w:type="gramEnd"/>
      <w:r>
        <w:rPr>
          <w:rFonts w:ascii="Arial" w:hAnsi="Arial" w:cs="Arial"/>
          <w:color w:val="auto"/>
        </w:rPr>
        <w:t xml:space="preserve"> onto the first module of the GPN fundamentals (Transitioning into general practice). This will be a pilot and will be delivered at Exeter only in the next academic year. As discussed, this may be useful and beneficial for one of your NQN RNA’s. Please see indicative dates and the indicative topics of what will be covered: </w:t>
      </w:r>
    </w:p>
    <w:p w14:paraId="48B5044E" w14:textId="77777777" w:rsidR="0055569C" w:rsidRDefault="0055569C" w:rsidP="0055569C">
      <w:pPr>
        <w:rPr>
          <w:rFonts w:ascii="Arial" w:hAnsi="Arial" w:cs="Arial"/>
          <w:color w:val="auto"/>
        </w:rPr>
      </w:pPr>
    </w:p>
    <w:tbl>
      <w:tblPr>
        <w:tblW w:w="10915" w:type="dxa"/>
        <w:tblInd w:w="-714" w:type="dxa"/>
        <w:tblCellMar>
          <w:left w:w="0" w:type="dxa"/>
          <w:right w:w="0" w:type="dxa"/>
        </w:tblCellMar>
        <w:tblLook w:val="04A0" w:firstRow="1" w:lastRow="0" w:firstColumn="1" w:lastColumn="0" w:noHBand="0" w:noVBand="1"/>
      </w:tblPr>
      <w:tblGrid>
        <w:gridCol w:w="2977"/>
        <w:gridCol w:w="3747"/>
        <w:gridCol w:w="4191"/>
      </w:tblGrid>
      <w:tr w:rsidR="0055569C" w14:paraId="75143609" w14:textId="77777777" w:rsidTr="0055569C">
        <w:tc>
          <w:tcPr>
            <w:tcW w:w="2977" w:type="dxa"/>
            <w:tcBorders>
              <w:top w:val="single" w:sz="8" w:space="0" w:color="4472C4"/>
              <w:left w:val="single" w:sz="8" w:space="0" w:color="4472C4"/>
              <w:bottom w:val="single" w:sz="8" w:space="0" w:color="4472C4"/>
              <w:right w:val="nil"/>
            </w:tcBorders>
            <w:shd w:val="clear" w:color="auto" w:fill="4472C4"/>
            <w:tcMar>
              <w:top w:w="0" w:type="dxa"/>
              <w:left w:w="108" w:type="dxa"/>
              <w:bottom w:w="0" w:type="dxa"/>
              <w:right w:w="108" w:type="dxa"/>
            </w:tcMar>
            <w:hideMark/>
          </w:tcPr>
          <w:p w14:paraId="63730272" w14:textId="77777777" w:rsidR="0055569C" w:rsidRDefault="0055569C">
            <w:pPr>
              <w:jc w:val="center"/>
              <w:rPr>
                <w:rFonts w:ascii="Arial" w:hAnsi="Arial" w:cs="Arial"/>
                <w:b/>
                <w:bCs/>
                <w:color w:val="auto"/>
              </w:rPr>
            </w:pPr>
            <w:r>
              <w:rPr>
                <w:rFonts w:ascii="Arial" w:hAnsi="Arial" w:cs="Arial"/>
                <w:b/>
                <w:bCs/>
              </w:rPr>
              <w:t>Date</w:t>
            </w:r>
          </w:p>
        </w:tc>
        <w:tc>
          <w:tcPr>
            <w:tcW w:w="3747" w:type="dxa"/>
            <w:tcBorders>
              <w:top w:val="single" w:sz="8" w:space="0" w:color="4472C4"/>
              <w:left w:val="nil"/>
              <w:bottom w:val="single" w:sz="8" w:space="0" w:color="4472C4"/>
              <w:right w:val="nil"/>
            </w:tcBorders>
            <w:shd w:val="clear" w:color="auto" w:fill="4472C4"/>
            <w:tcMar>
              <w:top w:w="0" w:type="dxa"/>
              <w:left w:w="108" w:type="dxa"/>
              <w:bottom w:w="0" w:type="dxa"/>
              <w:right w:w="108" w:type="dxa"/>
            </w:tcMar>
            <w:hideMark/>
          </w:tcPr>
          <w:p w14:paraId="4E31AEA6" w14:textId="77777777" w:rsidR="0055569C" w:rsidRDefault="0055569C">
            <w:pPr>
              <w:jc w:val="center"/>
              <w:rPr>
                <w:rFonts w:ascii="Arial" w:hAnsi="Arial" w:cs="Arial"/>
                <w:b/>
                <w:bCs/>
                <w:color w:val="auto"/>
              </w:rPr>
            </w:pPr>
            <w:r>
              <w:rPr>
                <w:rFonts w:ascii="Arial" w:hAnsi="Arial" w:cs="Arial"/>
                <w:b/>
                <w:bCs/>
              </w:rPr>
              <w:t>Topic</w:t>
            </w:r>
          </w:p>
        </w:tc>
        <w:tc>
          <w:tcPr>
            <w:tcW w:w="4191" w:type="dxa"/>
            <w:tcBorders>
              <w:top w:val="single" w:sz="8" w:space="0" w:color="4472C4"/>
              <w:left w:val="nil"/>
              <w:bottom w:val="single" w:sz="8" w:space="0" w:color="4472C4"/>
              <w:right w:val="single" w:sz="8" w:space="0" w:color="4472C4"/>
            </w:tcBorders>
            <w:shd w:val="clear" w:color="auto" w:fill="4472C4"/>
            <w:tcMar>
              <w:top w:w="0" w:type="dxa"/>
              <w:left w:w="108" w:type="dxa"/>
              <w:bottom w:w="0" w:type="dxa"/>
              <w:right w:w="108" w:type="dxa"/>
            </w:tcMar>
            <w:hideMark/>
          </w:tcPr>
          <w:p w14:paraId="6305EAF9" w14:textId="77777777" w:rsidR="0055569C" w:rsidRDefault="0055569C">
            <w:pPr>
              <w:jc w:val="center"/>
              <w:rPr>
                <w:rFonts w:ascii="Arial" w:hAnsi="Arial" w:cs="Arial"/>
                <w:b/>
                <w:bCs/>
                <w:color w:val="auto"/>
              </w:rPr>
            </w:pPr>
            <w:r>
              <w:rPr>
                <w:rFonts w:ascii="Arial" w:hAnsi="Arial" w:cs="Arial"/>
                <w:b/>
                <w:bCs/>
              </w:rPr>
              <w:t>Theory to Practice Activity/Wider engagement</w:t>
            </w:r>
          </w:p>
        </w:tc>
      </w:tr>
      <w:tr w:rsidR="0055569C" w14:paraId="12CEAFC0" w14:textId="77777777" w:rsidTr="0055569C">
        <w:tc>
          <w:tcPr>
            <w:tcW w:w="2977" w:type="dxa"/>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hideMark/>
          </w:tcPr>
          <w:p w14:paraId="2369E079" w14:textId="77777777" w:rsidR="0055569C" w:rsidRDefault="0055569C">
            <w:pPr>
              <w:jc w:val="center"/>
              <w:rPr>
                <w:rFonts w:ascii="Arial" w:hAnsi="Arial" w:cs="Arial"/>
                <w:color w:val="auto"/>
              </w:rPr>
            </w:pPr>
            <w:r>
              <w:rPr>
                <w:rFonts w:ascii="Arial" w:hAnsi="Arial" w:cs="Arial"/>
                <w:b/>
                <w:bCs/>
              </w:rPr>
              <w:t>12</w:t>
            </w:r>
            <w:r>
              <w:rPr>
                <w:rFonts w:ascii="Arial" w:hAnsi="Arial" w:cs="Arial"/>
                <w:b/>
                <w:bCs/>
                <w:vertAlign w:val="superscript"/>
              </w:rPr>
              <w:t>th</w:t>
            </w:r>
            <w:r>
              <w:rPr>
                <w:rFonts w:ascii="Arial" w:hAnsi="Arial" w:cs="Arial"/>
                <w:b/>
                <w:bCs/>
              </w:rPr>
              <w:t xml:space="preserve"> March 2025</w:t>
            </w:r>
          </w:p>
        </w:tc>
        <w:tc>
          <w:tcPr>
            <w:tcW w:w="3747"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14:paraId="2FD53655" w14:textId="77777777" w:rsidR="0055569C" w:rsidRDefault="0055569C">
            <w:pPr>
              <w:jc w:val="center"/>
              <w:rPr>
                <w:rFonts w:ascii="Arial" w:hAnsi="Arial" w:cs="Arial"/>
                <w:color w:val="auto"/>
              </w:rPr>
            </w:pPr>
            <w:r>
              <w:rPr>
                <w:rFonts w:ascii="Arial" w:hAnsi="Arial" w:cs="Arial"/>
              </w:rPr>
              <w:t>Introduction to the Module, the role and each other</w:t>
            </w:r>
          </w:p>
          <w:p w14:paraId="21923372" w14:textId="77777777" w:rsidR="0055569C" w:rsidRDefault="0055569C">
            <w:pPr>
              <w:jc w:val="center"/>
              <w:rPr>
                <w:rFonts w:ascii="Arial" w:hAnsi="Arial" w:cs="Arial"/>
                <w:color w:val="auto"/>
              </w:rPr>
            </w:pPr>
            <w:r>
              <w:rPr>
                <w:rFonts w:ascii="Arial" w:hAnsi="Arial" w:cs="Arial"/>
              </w:rPr>
              <w:t>Module and course expectations and assessments</w:t>
            </w:r>
          </w:p>
          <w:p w14:paraId="00CC6AB8" w14:textId="77777777" w:rsidR="0055569C" w:rsidRDefault="0055569C">
            <w:pPr>
              <w:jc w:val="center"/>
              <w:rPr>
                <w:rFonts w:ascii="Arial" w:hAnsi="Arial" w:cs="Arial"/>
                <w:color w:val="auto"/>
              </w:rPr>
            </w:pPr>
            <w:r>
              <w:rPr>
                <w:rFonts w:ascii="Arial" w:hAnsi="Arial" w:cs="Arial"/>
              </w:rPr>
              <w:t>Key guidance and developments in General Practice Nursing</w:t>
            </w:r>
          </w:p>
        </w:tc>
        <w:tc>
          <w:tcPr>
            <w:tcW w:w="4191"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14:paraId="3D26C134" w14:textId="77777777" w:rsidR="0055569C" w:rsidRDefault="0055569C">
            <w:pPr>
              <w:jc w:val="center"/>
              <w:rPr>
                <w:rFonts w:ascii="Arial" w:hAnsi="Arial" w:cs="Arial"/>
                <w:color w:val="auto"/>
              </w:rPr>
            </w:pPr>
            <w:r>
              <w:rPr>
                <w:rFonts w:ascii="Arial" w:hAnsi="Arial" w:cs="Arial"/>
              </w:rPr>
              <w:t xml:space="preserve">Review HEE </w:t>
            </w:r>
            <w:proofErr w:type="gramStart"/>
            <w:r>
              <w:rPr>
                <w:rFonts w:ascii="Arial" w:hAnsi="Arial" w:cs="Arial"/>
              </w:rPr>
              <w:t>Capabilities ,</w:t>
            </w:r>
            <w:proofErr w:type="gramEnd"/>
            <w:r>
              <w:rPr>
                <w:rFonts w:ascii="Arial" w:hAnsi="Arial" w:cs="Arial"/>
              </w:rPr>
              <w:t xml:space="preserve"> your Job description and Practice Induction </w:t>
            </w:r>
          </w:p>
        </w:tc>
      </w:tr>
      <w:tr w:rsidR="0055569C" w14:paraId="5B66A109" w14:textId="77777777" w:rsidTr="0055569C">
        <w:tc>
          <w:tcPr>
            <w:tcW w:w="2977" w:type="dxa"/>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hideMark/>
          </w:tcPr>
          <w:p w14:paraId="1E391F1C" w14:textId="77777777" w:rsidR="0055569C" w:rsidRDefault="0055569C">
            <w:pPr>
              <w:jc w:val="center"/>
              <w:rPr>
                <w:rFonts w:ascii="Arial" w:hAnsi="Arial" w:cs="Arial"/>
                <w:color w:val="auto"/>
              </w:rPr>
            </w:pPr>
            <w:r>
              <w:rPr>
                <w:rFonts w:ascii="Arial" w:hAnsi="Arial" w:cs="Arial"/>
                <w:b/>
                <w:bCs/>
              </w:rPr>
              <w:t>19th March 2025</w:t>
            </w:r>
          </w:p>
        </w:tc>
        <w:tc>
          <w:tcPr>
            <w:tcW w:w="3747"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14:paraId="106B3E28" w14:textId="77777777" w:rsidR="0055569C" w:rsidRDefault="0055569C">
            <w:pPr>
              <w:jc w:val="center"/>
              <w:rPr>
                <w:rFonts w:ascii="Arial" w:hAnsi="Arial" w:cs="Arial"/>
                <w:color w:val="auto"/>
              </w:rPr>
            </w:pPr>
            <w:bookmarkStart w:id="0" w:name="_Hlk173400388"/>
            <w:r>
              <w:rPr>
                <w:rFonts w:ascii="Arial" w:hAnsi="Arial" w:cs="Arial"/>
              </w:rPr>
              <w:t xml:space="preserve">The Public Health role of the GPN. </w:t>
            </w:r>
            <w:bookmarkEnd w:id="0"/>
            <w:r>
              <w:rPr>
                <w:rFonts w:ascii="Arial" w:hAnsi="Arial" w:cs="Arial"/>
              </w:rPr>
              <w:t>Health promotion and health screening</w:t>
            </w:r>
          </w:p>
          <w:p w14:paraId="7D3C34DB" w14:textId="77777777" w:rsidR="0055569C" w:rsidRDefault="0055569C">
            <w:pPr>
              <w:jc w:val="center"/>
              <w:rPr>
                <w:rFonts w:ascii="Arial" w:hAnsi="Arial" w:cs="Arial"/>
                <w:color w:val="auto"/>
              </w:rPr>
            </w:pPr>
            <w:r>
              <w:rPr>
                <w:rFonts w:ascii="Arial" w:hAnsi="Arial" w:cs="Arial"/>
              </w:rPr>
              <w:t>The Principles of IPC in GP settings</w:t>
            </w:r>
          </w:p>
        </w:tc>
        <w:tc>
          <w:tcPr>
            <w:tcW w:w="4191"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14:paraId="09C4BBD5" w14:textId="77777777" w:rsidR="0055569C" w:rsidRDefault="0055569C">
            <w:pPr>
              <w:jc w:val="center"/>
              <w:rPr>
                <w:rFonts w:ascii="Arial" w:hAnsi="Arial" w:cs="Arial"/>
                <w:color w:val="auto"/>
              </w:rPr>
            </w:pPr>
            <w:r>
              <w:rPr>
                <w:rFonts w:ascii="Arial" w:hAnsi="Arial" w:cs="Arial"/>
              </w:rPr>
              <w:t xml:space="preserve">Complete </w:t>
            </w:r>
            <w:proofErr w:type="spellStart"/>
            <w:r>
              <w:rPr>
                <w:rFonts w:ascii="Arial" w:hAnsi="Arial" w:cs="Arial"/>
              </w:rPr>
              <w:t>eLfH</w:t>
            </w:r>
            <w:proofErr w:type="spellEnd"/>
            <w:r>
              <w:rPr>
                <w:rFonts w:ascii="Arial" w:hAnsi="Arial" w:cs="Arial"/>
              </w:rPr>
              <w:t xml:space="preserve"> Immunisation core modules</w:t>
            </w:r>
          </w:p>
        </w:tc>
      </w:tr>
      <w:tr w:rsidR="0055569C" w14:paraId="0F4D51B0" w14:textId="77777777" w:rsidTr="0055569C">
        <w:tc>
          <w:tcPr>
            <w:tcW w:w="2977" w:type="dxa"/>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hideMark/>
          </w:tcPr>
          <w:p w14:paraId="0B3CBB20" w14:textId="77777777" w:rsidR="0055569C" w:rsidRDefault="0055569C">
            <w:pPr>
              <w:jc w:val="center"/>
              <w:rPr>
                <w:rFonts w:ascii="Arial" w:hAnsi="Arial" w:cs="Arial"/>
                <w:b/>
                <w:bCs/>
                <w:color w:val="auto"/>
              </w:rPr>
            </w:pPr>
            <w:r>
              <w:rPr>
                <w:rFonts w:ascii="Arial" w:hAnsi="Arial" w:cs="Arial"/>
                <w:b/>
                <w:bCs/>
              </w:rPr>
              <w:t>26</w:t>
            </w:r>
            <w:r>
              <w:rPr>
                <w:rFonts w:ascii="Arial" w:hAnsi="Arial" w:cs="Arial"/>
                <w:b/>
                <w:bCs/>
                <w:vertAlign w:val="superscript"/>
              </w:rPr>
              <w:t>th</w:t>
            </w:r>
            <w:r>
              <w:rPr>
                <w:rFonts w:ascii="Arial" w:hAnsi="Arial" w:cs="Arial"/>
                <w:b/>
                <w:bCs/>
              </w:rPr>
              <w:t xml:space="preserve"> March 2025</w:t>
            </w:r>
          </w:p>
        </w:tc>
        <w:tc>
          <w:tcPr>
            <w:tcW w:w="3747"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14:paraId="33E380D5" w14:textId="77777777" w:rsidR="0055569C" w:rsidRDefault="0055569C">
            <w:pPr>
              <w:jc w:val="center"/>
              <w:rPr>
                <w:rFonts w:ascii="Arial" w:hAnsi="Arial" w:cs="Arial"/>
                <w:color w:val="auto"/>
              </w:rPr>
            </w:pPr>
            <w:bookmarkStart w:id="1" w:name="_Hlk173400499"/>
            <w:r>
              <w:rPr>
                <w:rFonts w:ascii="Arial" w:hAnsi="Arial" w:cs="Arial"/>
              </w:rPr>
              <w:t>CVD 1 Primary prevention, diagnosis, and management of Hypertension. Lipids. Calculation and communication of personalised risk</w:t>
            </w:r>
            <w:bookmarkEnd w:id="1"/>
          </w:p>
          <w:p w14:paraId="39D24CC9" w14:textId="77777777" w:rsidR="0055569C" w:rsidRDefault="0055569C">
            <w:pPr>
              <w:jc w:val="center"/>
              <w:rPr>
                <w:rFonts w:ascii="Arial" w:hAnsi="Arial" w:cs="Arial"/>
                <w:color w:val="auto"/>
              </w:rPr>
            </w:pPr>
            <w:proofErr w:type="spellStart"/>
            <w:r>
              <w:rPr>
                <w:rFonts w:ascii="Arial" w:hAnsi="Arial" w:cs="Arial"/>
              </w:rPr>
              <w:t>Mens</w:t>
            </w:r>
            <w:proofErr w:type="spellEnd"/>
            <w:r>
              <w:rPr>
                <w:rFonts w:ascii="Arial" w:hAnsi="Arial" w:cs="Arial"/>
              </w:rPr>
              <w:t xml:space="preserve"> Health part 1 </w:t>
            </w:r>
          </w:p>
        </w:tc>
        <w:tc>
          <w:tcPr>
            <w:tcW w:w="4191"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14:paraId="53D899F4" w14:textId="77777777" w:rsidR="0055569C" w:rsidRDefault="0055569C">
            <w:pPr>
              <w:jc w:val="center"/>
              <w:rPr>
                <w:rFonts w:ascii="Arial" w:hAnsi="Arial" w:cs="Arial"/>
                <w:color w:val="auto"/>
              </w:rPr>
            </w:pPr>
            <w:r>
              <w:rPr>
                <w:rFonts w:ascii="Arial" w:hAnsi="Arial" w:cs="Arial"/>
              </w:rPr>
              <w:t>Observe/assist with ABPM/</w:t>
            </w:r>
            <w:proofErr w:type="spellStart"/>
            <w:r>
              <w:rPr>
                <w:rFonts w:ascii="Arial" w:hAnsi="Arial" w:cs="Arial"/>
              </w:rPr>
              <w:t>cardiocall</w:t>
            </w:r>
            <w:proofErr w:type="spellEnd"/>
            <w:r>
              <w:rPr>
                <w:rFonts w:ascii="Arial" w:hAnsi="Arial" w:cs="Arial"/>
              </w:rPr>
              <w:t xml:space="preserve"> and INRs</w:t>
            </w:r>
          </w:p>
          <w:p w14:paraId="379704CD" w14:textId="77777777" w:rsidR="0055569C" w:rsidRDefault="0055569C">
            <w:pPr>
              <w:jc w:val="center"/>
              <w:rPr>
                <w:rFonts w:ascii="Arial" w:hAnsi="Arial" w:cs="Arial"/>
                <w:color w:val="auto"/>
              </w:rPr>
            </w:pPr>
            <w:r>
              <w:rPr>
                <w:rFonts w:ascii="Arial" w:hAnsi="Arial" w:cs="Arial"/>
              </w:rPr>
              <w:t xml:space="preserve">Patient Journey – find and obtain consent to talk with a person living with Hypertension about the diagnosis and impact on their life. Consider understanding, self-management, medicine management. </w:t>
            </w:r>
          </w:p>
          <w:p w14:paraId="379FFA2D" w14:textId="77777777" w:rsidR="0055569C" w:rsidRDefault="0055569C">
            <w:pPr>
              <w:jc w:val="center"/>
              <w:rPr>
                <w:rFonts w:ascii="Arial" w:hAnsi="Arial" w:cs="Arial"/>
                <w:color w:val="auto"/>
              </w:rPr>
            </w:pPr>
            <w:r>
              <w:rPr>
                <w:rFonts w:ascii="Arial" w:hAnsi="Arial" w:cs="Arial"/>
              </w:rPr>
              <w:t>Immunisation eLearning and competences</w:t>
            </w:r>
          </w:p>
        </w:tc>
      </w:tr>
      <w:tr w:rsidR="0055569C" w14:paraId="2ACE363A" w14:textId="77777777" w:rsidTr="0055569C">
        <w:tc>
          <w:tcPr>
            <w:tcW w:w="2977" w:type="dxa"/>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hideMark/>
          </w:tcPr>
          <w:p w14:paraId="24438F67" w14:textId="77777777" w:rsidR="0055569C" w:rsidRDefault="0055569C">
            <w:pPr>
              <w:jc w:val="center"/>
              <w:rPr>
                <w:rFonts w:ascii="Arial" w:hAnsi="Arial" w:cs="Arial"/>
                <w:color w:val="auto"/>
              </w:rPr>
            </w:pPr>
            <w:r>
              <w:rPr>
                <w:rFonts w:ascii="Arial" w:hAnsi="Arial" w:cs="Arial"/>
                <w:b/>
                <w:bCs/>
              </w:rPr>
              <w:t>2nd April 2025</w:t>
            </w:r>
          </w:p>
        </w:tc>
        <w:tc>
          <w:tcPr>
            <w:tcW w:w="3747"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14:paraId="4EE11A50" w14:textId="77777777" w:rsidR="0055569C" w:rsidRDefault="0055569C">
            <w:pPr>
              <w:jc w:val="center"/>
              <w:rPr>
                <w:rFonts w:ascii="Arial" w:hAnsi="Arial" w:cs="Arial"/>
                <w:color w:val="auto"/>
              </w:rPr>
            </w:pPr>
            <w:r>
              <w:rPr>
                <w:rFonts w:ascii="Arial" w:hAnsi="Arial" w:cs="Arial"/>
              </w:rPr>
              <w:t xml:space="preserve">Immunisation or Children and Adults </w:t>
            </w:r>
          </w:p>
        </w:tc>
        <w:tc>
          <w:tcPr>
            <w:tcW w:w="4191"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14:paraId="2CBB5C3C" w14:textId="77777777" w:rsidR="0055569C" w:rsidRDefault="0055569C">
            <w:pPr>
              <w:jc w:val="center"/>
              <w:rPr>
                <w:rFonts w:ascii="Arial" w:hAnsi="Arial" w:cs="Arial"/>
                <w:color w:val="auto"/>
              </w:rPr>
            </w:pPr>
            <w:r>
              <w:rPr>
                <w:rFonts w:ascii="Arial" w:hAnsi="Arial" w:cs="Arial"/>
              </w:rPr>
              <w:t>All our Health and making every contact count e learning.</w:t>
            </w:r>
          </w:p>
        </w:tc>
      </w:tr>
      <w:tr w:rsidR="0055569C" w14:paraId="08D19205" w14:textId="77777777" w:rsidTr="0055569C">
        <w:tc>
          <w:tcPr>
            <w:tcW w:w="2977" w:type="dxa"/>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hideMark/>
          </w:tcPr>
          <w:p w14:paraId="44030D09" w14:textId="77777777" w:rsidR="0055569C" w:rsidRDefault="0055569C">
            <w:pPr>
              <w:jc w:val="center"/>
              <w:rPr>
                <w:rFonts w:ascii="Arial" w:hAnsi="Arial" w:cs="Arial"/>
                <w:color w:val="auto"/>
              </w:rPr>
            </w:pPr>
            <w:r>
              <w:rPr>
                <w:rFonts w:ascii="Arial" w:hAnsi="Arial" w:cs="Arial"/>
                <w:b/>
                <w:bCs/>
              </w:rPr>
              <w:t>9th April 2025</w:t>
            </w:r>
          </w:p>
        </w:tc>
        <w:tc>
          <w:tcPr>
            <w:tcW w:w="3747"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14:paraId="4417F46D" w14:textId="77777777" w:rsidR="0055569C" w:rsidRDefault="0055569C">
            <w:pPr>
              <w:jc w:val="center"/>
              <w:rPr>
                <w:rFonts w:ascii="Arial" w:hAnsi="Arial" w:cs="Arial"/>
                <w:color w:val="auto"/>
              </w:rPr>
            </w:pPr>
            <w:r>
              <w:rPr>
                <w:rFonts w:ascii="Arial" w:hAnsi="Arial" w:cs="Arial"/>
              </w:rPr>
              <w:t>CVD 2 Atrial Fibrillation, Anticoagulation therapy and prevention of thrombotic disease</w:t>
            </w:r>
          </w:p>
          <w:p w14:paraId="6608D17D" w14:textId="77777777" w:rsidR="0055569C" w:rsidRDefault="0055569C">
            <w:pPr>
              <w:jc w:val="center"/>
              <w:rPr>
                <w:rFonts w:ascii="Arial" w:hAnsi="Arial" w:cs="Arial"/>
                <w:color w:val="auto"/>
              </w:rPr>
            </w:pPr>
          </w:p>
          <w:p w14:paraId="7B5984B8" w14:textId="77777777" w:rsidR="0055569C" w:rsidRDefault="0055569C">
            <w:pPr>
              <w:jc w:val="center"/>
              <w:rPr>
                <w:rFonts w:ascii="Arial" w:hAnsi="Arial" w:cs="Arial"/>
                <w:color w:val="auto"/>
              </w:rPr>
            </w:pPr>
            <w:r>
              <w:rPr>
                <w:rFonts w:ascii="Arial" w:hAnsi="Arial" w:cs="Arial"/>
              </w:rPr>
              <w:t>Men’s Health part 2</w:t>
            </w:r>
          </w:p>
        </w:tc>
        <w:tc>
          <w:tcPr>
            <w:tcW w:w="4191"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14:paraId="34457EA8" w14:textId="77777777" w:rsidR="0055569C" w:rsidRDefault="0055569C">
            <w:pPr>
              <w:jc w:val="center"/>
              <w:rPr>
                <w:rFonts w:ascii="Arial" w:hAnsi="Arial" w:cs="Arial"/>
                <w:color w:val="auto"/>
              </w:rPr>
            </w:pPr>
            <w:r>
              <w:rPr>
                <w:rFonts w:ascii="Arial" w:hAnsi="Arial" w:cs="Arial"/>
              </w:rPr>
              <w:t>Review basic understanding of ECGs.</w:t>
            </w:r>
          </w:p>
          <w:p w14:paraId="6918B797" w14:textId="77777777" w:rsidR="0055569C" w:rsidRDefault="0055569C">
            <w:pPr>
              <w:jc w:val="center"/>
              <w:rPr>
                <w:rFonts w:ascii="Arial" w:hAnsi="Arial" w:cs="Arial"/>
                <w:color w:val="auto"/>
              </w:rPr>
            </w:pPr>
            <w:r>
              <w:rPr>
                <w:rFonts w:ascii="Arial" w:hAnsi="Arial" w:cs="Arial"/>
              </w:rPr>
              <w:t>Practice protocol for emergency and routine ECGs</w:t>
            </w:r>
          </w:p>
          <w:p w14:paraId="7447FD69" w14:textId="77777777" w:rsidR="0055569C" w:rsidRDefault="0055569C">
            <w:pPr>
              <w:jc w:val="center"/>
              <w:rPr>
                <w:rFonts w:ascii="Arial" w:hAnsi="Arial" w:cs="Arial"/>
                <w:color w:val="auto"/>
              </w:rPr>
            </w:pPr>
            <w:r>
              <w:rPr>
                <w:rFonts w:ascii="Arial" w:hAnsi="Arial" w:cs="Arial"/>
              </w:rPr>
              <w:t xml:space="preserve">Patient journey – find and obtain consent to talk with a patient and their partner/carer about the experience of living with cardiac </w:t>
            </w:r>
            <w:proofErr w:type="spellStart"/>
            <w:r>
              <w:rPr>
                <w:rFonts w:ascii="Arial" w:hAnsi="Arial" w:cs="Arial"/>
              </w:rPr>
              <w:t>arrthymia</w:t>
            </w:r>
            <w:proofErr w:type="spellEnd"/>
          </w:p>
        </w:tc>
      </w:tr>
      <w:tr w:rsidR="0055569C" w14:paraId="07EED960" w14:textId="77777777" w:rsidTr="0055569C">
        <w:tc>
          <w:tcPr>
            <w:tcW w:w="2977" w:type="dxa"/>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hideMark/>
          </w:tcPr>
          <w:p w14:paraId="6ADB7A71" w14:textId="77777777" w:rsidR="0055569C" w:rsidRDefault="0055569C">
            <w:pPr>
              <w:jc w:val="center"/>
              <w:rPr>
                <w:rFonts w:ascii="Arial" w:hAnsi="Arial" w:cs="Arial"/>
                <w:color w:val="auto"/>
              </w:rPr>
            </w:pPr>
            <w:r>
              <w:rPr>
                <w:rFonts w:ascii="Arial" w:hAnsi="Arial" w:cs="Arial"/>
                <w:b/>
                <w:bCs/>
              </w:rPr>
              <w:t>16</w:t>
            </w:r>
            <w:r>
              <w:rPr>
                <w:rFonts w:ascii="Arial" w:hAnsi="Arial" w:cs="Arial"/>
                <w:b/>
                <w:bCs/>
                <w:vertAlign w:val="superscript"/>
              </w:rPr>
              <w:t>th</w:t>
            </w:r>
            <w:r>
              <w:rPr>
                <w:rFonts w:ascii="Arial" w:hAnsi="Arial" w:cs="Arial"/>
                <w:b/>
                <w:bCs/>
              </w:rPr>
              <w:t xml:space="preserve"> April 2025</w:t>
            </w:r>
          </w:p>
        </w:tc>
        <w:tc>
          <w:tcPr>
            <w:tcW w:w="3747"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14:paraId="00F53CD6" w14:textId="77777777" w:rsidR="0055569C" w:rsidRDefault="0055569C">
            <w:pPr>
              <w:jc w:val="center"/>
              <w:rPr>
                <w:rFonts w:ascii="Arial" w:hAnsi="Arial" w:cs="Arial"/>
                <w:color w:val="auto"/>
              </w:rPr>
            </w:pPr>
            <w:r>
              <w:rPr>
                <w:rFonts w:ascii="Arial" w:hAnsi="Arial" w:cs="Arial"/>
              </w:rPr>
              <w:t>Tissue viability and wound care in General Practice</w:t>
            </w:r>
          </w:p>
        </w:tc>
        <w:tc>
          <w:tcPr>
            <w:tcW w:w="4191"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14:paraId="5B2B93EA" w14:textId="77777777" w:rsidR="0055569C" w:rsidRDefault="0055569C">
            <w:pPr>
              <w:jc w:val="center"/>
              <w:rPr>
                <w:rFonts w:ascii="Arial" w:hAnsi="Arial" w:cs="Arial"/>
                <w:color w:val="auto"/>
              </w:rPr>
            </w:pPr>
            <w:r>
              <w:rPr>
                <w:rFonts w:ascii="Arial" w:hAnsi="Arial" w:cs="Arial"/>
              </w:rPr>
              <w:t>Review your wound formulary.</w:t>
            </w:r>
          </w:p>
          <w:p w14:paraId="31D65E5D" w14:textId="77777777" w:rsidR="0055569C" w:rsidRDefault="0055569C">
            <w:pPr>
              <w:jc w:val="center"/>
              <w:rPr>
                <w:rFonts w:ascii="Arial" w:hAnsi="Arial" w:cs="Arial"/>
                <w:color w:val="auto"/>
              </w:rPr>
            </w:pPr>
            <w:r>
              <w:rPr>
                <w:rFonts w:ascii="Arial" w:hAnsi="Arial" w:cs="Arial"/>
              </w:rPr>
              <w:t>Arrange visit to TV or leg clinic</w:t>
            </w:r>
          </w:p>
        </w:tc>
      </w:tr>
      <w:tr w:rsidR="0055569C" w14:paraId="2DA88CCA" w14:textId="77777777" w:rsidTr="0055569C">
        <w:tc>
          <w:tcPr>
            <w:tcW w:w="2977" w:type="dxa"/>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hideMark/>
          </w:tcPr>
          <w:p w14:paraId="7115E534" w14:textId="77777777" w:rsidR="0055569C" w:rsidRDefault="0055569C">
            <w:pPr>
              <w:jc w:val="center"/>
              <w:rPr>
                <w:rFonts w:ascii="Arial" w:hAnsi="Arial" w:cs="Arial"/>
                <w:color w:val="auto"/>
              </w:rPr>
            </w:pPr>
            <w:r>
              <w:rPr>
                <w:rFonts w:ascii="Arial" w:hAnsi="Arial" w:cs="Arial"/>
                <w:b/>
                <w:bCs/>
              </w:rPr>
              <w:lastRenderedPageBreak/>
              <w:t>23rd April 2025</w:t>
            </w:r>
          </w:p>
        </w:tc>
        <w:tc>
          <w:tcPr>
            <w:tcW w:w="3747"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14:paraId="7006F7F8" w14:textId="77777777" w:rsidR="0055569C" w:rsidRDefault="0055569C">
            <w:pPr>
              <w:jc w:val="center"/>
              <w:rPr>
                <w:rFonts w:ascii="Arial" w:hAnsi="Arial" w:cs="Arial"/>
                <w:color w:val="auto"/>
              </w:rPr>
            </w:pPr>
            <w:r>
              <w:rPr>
                <w:rFonts w:ascii="Arial" w:hAnsi="Arial" w:cs="Arial"/>
              </w:rPr>
              <w:t>Introduction to Asthma</w:t>
            </w:r>
          </w:p>
        </w:tc>
        <w:tc>
          <w:tcPr>
            <w:tcW w:w="4191"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14:paraId="5663DD81" w14:textId="77777777" w:rsidR="0055569C" w:rsidRDefault="0055569C">
            <w:pPr>
              <w:jc w:val="center"/>
              <w:rPr>
                <w:rFonts w:ascii="Arial" w:hAnsi="Arial" w:cs="Arial"/>
                <w:color w:val="auto"/>
              </w:rPr>
            </w:pPr>
            <w:r>
              <w:rPr>
                <w:rFonts w:ascii="Arial" w:hAnsi="Arial" w:cs="Arial"/>
              </w:rPr>
              <w:t>Observe asthma reviews</w:t>
            </w:r>
          </w:p>
          <w:p w14:paraId="503573CE" w14:textId="77777777" w:rsidR="0055569C" w:rsidRDefault="0055569C">
            <w:pPr>
              <w:jc w:val="center"/>
              <w:rPr>
                <w:rFonts w:ascii="Arial" w:hAnsi="Arial" w:cs="Arial"/>
                <w:color w:val="auto"/>
              </w:rPr>
            </w:pPr>
            <w:r>
              <w:rPr>
                <w:rFonts w:ascii="Arial" w:hAnsi="Arial" w:cs="Arial"/>
              </w:rPr>
              <w:t>Patient journey – obtain consent to talk with a parent about their experience of having a child diagnosed with asthma</w:t>
            </w:r>
          </w:p>
        </w:tc>
      </w:tr>
      <w:tr w:rsidR="0055569C" w14:paraId="5D1A2AE9" w14:textId="77777777" w:rsidTr="0055569C">
        <w:tc>
          <w:tcPr>
            <w:tcW w:w="2977" w:type="dxa"/>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hideMark/>
          </w:tcPr>
          <w:p w14:paraId="362DEAE3" w14:textId="77777777" w:rsidR="0055569C" w:rsidRDefault="0055569C">
            <w:pPr>
              <w:jc w:val="center"/>
              <w:rPr>
                <w:rFonts w:ascii="Arial" w:hAnsi="Arial" w:cs="Arial"/>
                <w:color w:val="auto"/>
              </w:rPr>
            </w:pPr>
            <w:r>
              <w:rPr>
                <w:rFonts w:ascii="Arial" w:hAnsi="Arial" w:cs="Arial"/>
                <w:b/>
                <w:bCs/>
              </w:rPr>
              <w:t>30</w:t>
            </w:r>
            <w:r>
              <w:rPr>
                <w:rFonts w:ascii="Arial" w:hAnsi="Arial" w:cs="Arial"/>
                <w:b/>
                <w:bCs/>
                <w:vertAlign w:val="superscript"/>
              </w:rPr>
              <w:t>th</w:t>
            </w:r>
            <w:r>
              <w:rPr>
                <w:rFonts w:ascii="Arial" w:hAnsi="Arial" w:cs="Arial"/>
                <w:b/>
                <w:bCs/>
              </w:rPr>
              <w:t xml:space="preserve"> April 2025</w:t>
            </w:r>
          </w:p>
        </w:tc>
        <w:tc>
          <w:tcPr>
            <w:tcW w:w="3747"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14:paraId="1A98E793" w14:textId="77777777" w:rsidR="0055569C" w:rsidRDefault="0055569C">
            <w:pPr>
              <w:jc w:val="center"/>
              <w:rPr>
                <w:rFonts w:ascii="Arial" w:hAnsi="Arial" w:cs="Arial"/>
                <w:color w:val="auto"/>
              </w:rPr>
            </w:pPr>
            <w:r>
              <w:rPr>
                <w:rFonts w:ascii="Arial" w:hAnsi="Arial" w:cs="Arial"/>
              </w:rPr>
              <w:t>Supporting Continence</w:t>
            </w:r>
          </w:p>
          <w:p w14:paraId="76F8B576" w14:textId="77777777" w:rsidR="0055569C" w:rsidRDefault="0055569C">
            <w:pPr>
              <w:jc w:val="center"/>
              <w:rPr>
                <w:rFonts w:ascii="Arial" w:hAnsi="Arial" w:cs="Arial"/>
                <w:color w:val="auto"/>
              </w:rPr>
            </w:pPr>
            <w:r>
              <w:rPr>
                <w:rFonts w:ascii="Arial" w:hAnsi="Arial" w:cs="Arial"/>
              </w:rPr>
              <w:t>Introduction to Frailty and its implications</w:t>
            </w:r>
          </w:p>
        </w:tc>
        <w:tc>
          <w:tcPr>
            <w:tcW w:w="4191"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14:paraId="3E565F83" w14:textId="77777777" w:rsidR="0055569C" w:rsidRDefault="0055569C">
            <w:pPr>
              <w:jc w:val="center"/>
              <w:rPr>
                <w:rFonts w:ascii="Arial" w:hAnsi="Arial" w:cs="Arial"/>
                <w:color w:val="auto"/>
              </w:rPr>
            </w:pPr>
            <w:r>
              <w:rPr>
                <w:rFonts w:ascii="Arial" w:hAnsi="Arial" w:cs="Arial"/>
              </w:rPr>
              <w:t>Find out the process for referral to bladder and bowel service</w:t>
            </w:r>
          </w:p>
          <w:p w14:paraId="129AF0F2" w14:textId="77777777" w:rsidR="0055569C" w:rsidRDefault="0055569C">
            <w:pPr>
              <w:jc w:val="center"/>
              <w:rPr>
                <w:rFonts w:ascii="Arial" w:hAnsi="Arial" w:cs="Arial"/>
                <w:color w:val="auto"/>
              </w:rPr>
            </w:pPr>
            <w:r>
              <w:rPr>
                <w:rFonts w:ascii="Arial" w:hAnsi="Arial" w:cs="Arial"/>
              </w:rPr>
              <w:t xml:space="preserve">Patient perspective -obtain consent to discuss issues of continence at all appropriate appointments </w:t>
            </w:r>
            <w:proofErr w:type="spellStart"/>
            <w:r>
              <w:rPr>
                <w:rFonts w:ascii="Arial" w:hAnsi="Arial" w:cs="Arial"/>
              </w:rPr>
              <w:t>eg</w:t>
            </w:r>
            <w:proofErr w:type="spellEnd"/>
            <w:r>
              <w:rPr>
                <w:rFonts w:ascii="Arial" w:hAnsi="Arial" w:cs="Arial"/>
              </w:rPr>
              <w:t xml:space="preserve"> Cervical cytology, well-person appointments, menopause and contraception clinics and baby immunisations</w:t>
            </w:r>
          </w:p>
        </w:tc>
      </w:tr>
      <w:tr w:rsidR="0055569C" w14:paraId="5E8F3DAE" w14:textId="77777777" w:rsidTr="0055569C">
        <w:tc>
          <w:tcPr>
            <w:tcW w:w="2977" w:type="dxa"/>
            <w:tcBorders>
              <w:top w:val="nil"/>
              <w:left w:val="single" w:sz="8" w:space="0" w:color="8EAADB"/>
              <w:bottom w:val="single" w:sz="8" w:space="0" w:color="8EAADB"/>
              <w:right w:val="single" w:sz="8" w:space="0" w:color="8EAADB"/>
            </w:tcBorders>
            <w:tcMar>
              <w:top w:w="0" w:type="dxa"/>
              <w:left w:w="108" w:type="dxa"/>
              <w:bottom w:w="0" w:type="dxa"/>
              <w:right w:w="108" w:type="dxa"/>
            </w:tcMar>
            <w:hideMark/>
          </w:tcPr>
          <w:p w14:paraId="4FED12EC" w14:textId="77777777" w:rsidR="0055569C" w:rsidRDefault="0055569C">
            <w:pPr>
              <w:jc w:val="center"/>
              <w:rPr>
                <w:rFonts w:ascii="Arial" w:hAnsi="Arial" w:cs="Arial"/>
                <w:color w:val="auto"/>
              </w:rPr>
            </w:pPr>
            <w:r>
              <w:rPr>
                <w:rFonts w:ascii="Arial" w:hAnsi="Arial" w:cs="Arial"/>
                <w:b/>
                <w:bCs/>
                <w:color w:val="auto"/>
              </w:rPr>
              <w:t>7th May 2025</w:t>
            </w:r>
          </w:p>
        </w:tc>
        <w:tc>
          <w:tcPr>
            <w:tcW w:w="3747" w:type="dxa"/>
            <w:tcBorders>
              <w:top w:val="nil"/>
              <w:left w:val="nil"/>
              <w:bottom w:val="single" w:sz="8" w:space="0" w:color="8EAADB"/>
              <w:right w:val="single" w:sz="8" w:space="0" w:color="8EAADB"/>
            </w:tcBorders>
            <w:tcMar>
              <w:top w:w="0" w:type="dxa"/>
              <w:left w:w="108" w:type="dxa"/>
              <w:bottom w:w="0" w:type="dxa"/>
              <w:right w:w="108" w:type="dxa"/>
            </w:tcMar>
            <w:hideMark/>
          </w:tcPr>
          <w:p w14:paraId="54FBBF40" w14:textId="77777777" w:rsidR="0055569C" w:rsidRDefault="0055569C">
            <w:pPr>
              <w:jc w:val="center"/>
              <w:rPr>
                <w:rFonts w:ascii="Arial" w:hAnsi="Arial" w:cs="Arial"/>
                <w:color w:val="auto"/>
              </w:rPr>
            </w:pPr>
            <w:r>
              <w:rPr>
                <w:rFonts w:ascii="Arial" w:hAnsi="Arial" w:cs="Arial"/>
                <w:color w:val="auto"/>
              </w:rPr>
              <w:t>Assignment</w:t>
            </w:r>
          </w:p>
        </w:tc>
        <w:tc>
          <w:tcPr>
            <w:tcW w:w="4191" w:type="dxa"/>
            <w:tcBorders>
              <w:top w:val="nil"/>
              <w:left w:val="nil"/>
              <w:bottom w:val="single" w:sz="8" w:space="0" w:color="8EAADB"/>
              <w:right w:val="single" w:sz="8" w:space="0" w:color="8EAADB"/>
            </w:tcBorders>
            <w:tcMar>
              <w:top w:w="0" w:type="dxa"/>
              <w:left w:w="108" w:type="dxa"/>
              <w:bottom w:w="0" w:type="dxa"/>
              <w:right w:w="108" w:type="dxa"/>
            </w:tcMar>
            <w:hideMark/>
          </w:tcPr>
          <w:p w14:paraId="58E4DA15" w14:textId="77777777" w:rsidR="0055569C" w:rsidRDefault="0055569C">
            <w:pPr>
              <w:jc w:val="center"/>
              <w:rPr>
                <w:rFonts w:ascii="Arial" w:hAnsi="Arial" w:cs="Arial"/>
                <w:color w:val="auto"/>
              </w:rPr>
            </w:pPr>
            <w:r>
              <w:rPr>
                <w:rFonts w:ascii="Arial" w:hAnsi="Arial" w:cs="Arial"/>
                <w:color w:val="auto"/>
              </w:rPr>
              <w:t>Completing assessed work</w:t>
            </w:r>
          </w:p>
        </w:tc>
      </w:tr>
      <w:tr w:rsidR="0055569C" w14:paraId="538C1AD0" w14:textId="77777777" w:rsidTr="0055569C">
        <w:tc>
          <w:tcPr>
            <w:tcW w:w="2977" w:type="dxa"/>
            <w:tcBorders>
              <w:top w:val="nil"/>
              <w:left w:val="single" w:sz="8" w:space="0" w:color="8EAADB"/>
              <w:bottom w:val="single" w:sz="8" w:space="0" w:color="8EAADB"/>
              <w:right w:val="single" w:sz="8" w:space="0" w:color="8EAADB"/>
            </w:tcBorders>
            <w:tcMar>
              <w:top w:w="0" w:type="dxa"/>
              <w:left w:w="108" w:type="dxa"/>
              <w:bottom w:w="0" w:type="dxa"/>
              <w:right w:w="108" w:type="dxa"/>
            </w:tcMar>
            <w:hideMark/>
          </w:tcPr>
          <w:p w14:paraId="383E2530" w14:textId="77777777" w:rsidR="0055569C" w:rsidRDefault="0055569C">
            <w:pPr>
              <w:jc w:val="center"/>
              <w:rPr>
                <w:rFonts w:ascii="Arial" w:hAnsi="Arial" w:cs="Arial"/>
                <w:color w:val="auto"/>
              </w:rPr>
            </w:pPr>
            <w:r>
              <w:rPr>
                <w:rFonts w:ascii="Arial" w:hAnsi="Arial" w:cs="Arial"/>
                <w:b/>
                <w:bCs/>
                <w:color w:val="auto"/>
              </w:rPr>
              <w:t>14</w:t>
            </w:r>
            <w:r>
              <w:rPr>
                <w:rFonts w:ascii="Arial" w:hAnsi="Arial" w:cs="Arial"/>
                <w:b/>
                <w:bCs/>
                <w:color w:val="auto"/>
                <w:vertAlign w:val="superscript"/>
              </w:rPr>
              <w:t>th</w:t>
            </w:r>
            <w:r>
              <w:rPr>
                <w:rFonts w:ascii="Arial" w:hAnsi="Arial" w:cs="Arial"/>
                <w:b/>
                <w:bCs/>
                <w:color w:val="auto"/>
              </w:rPr>
              <w:t xml:space="preserve"> May 2025</w:t>
            </w:r>
          </w:p>
        </w:tc>
        <w:tc>
          <w:tcPr>
            <w:tcW w:w="3747" w:type="dxa"/>
            <w:tcBorders>
              <w:top w:val="nil"/>
              <w:left w:val="nil"/>
              <w:bottom w:val="single" w:sz="8" w:space="0" w:color="8EAADB"/>
              <w:right w:val="single" w:sz="8" w:space="0" w:color="8EAADB"/>
            </w:tcBorders>
            <w:tcMar>
              <w:top w:w="0" w:type="dxa"/>
              <w:left w:w="108" w:type="dxa"/>
              <w:bottom w:w="0" w:type="dxa"/>
              <w:right w:w="108" w:type="dxa"/>
            </w:tcMar>
            <w:hideMark/>
          </w:tcPr>
          <w:p w14:paraId="43256845" w14:textId="77777777" w:rsidR="0055569C" w:rsidRDefault="0055569C">
            <w:pPr>
              <w:jc w:val="center"/>
              <w:rPr>
                <w:rFonts w:ascii="Arial" w:hAnsi="Arial" w:cs="Arial"/>
                <w:color w:val="auto"/>
              </w:rPr>
            </w:pPr>
            <w:r>
              <w:rPr>
                <w:rFonts w:ascii="Arial" w:hAnsi="Arial" w:cs="Arial"/>
                <w:color w:val="auto"/>
              </w:rPr>
              <w:t>Assignment</w:t>
            </w:r>
          </w:p>
        </w:tc>
        <w:tc>
          <w:tcPr>
            <w:tcW w:w="4191" w:type="dxa"/>
            <w:tcBorders>
              <w:top w:val="nil"/>
              <w:left w:val="nil"/>
              <w:bottom w:val="single" w:sz="8" w:space="0" w:color="8EAADB"/>
              <w:right w:val="single" w:sz="8" w:space="0" w:color="8EAADB"/>
            </w:tcBorders>
            <w:tcMar>
              <w:top w:w="0" w:type="dxa"/>
              <w:left w:w="108" w:type="dxa"/>
              <w:bottom w:w="0" w:type="dxa"/>
              <w:right w:w="108" w:type="dxa"/>
            </w:tcMar>
            <w:hideMark/>
          </w:tcPr>
          <w:p w14:paraId="0D1E0400" w14:textId="77777777" w:rsidR="0055569C" w:rsidRDefault="0055569C">
            <w:pPr>
              <w:jc w:val="center"/>
              <w:rPr>
                <w:rFonts w:ascii="Arial" w:hAnsi="Arial" w:cs="Arial"/>
                <w:color w:val="auto"/>
              </w:rPr>
            </w:pPr>
            <w:r>
              <w:rPr>
                <w:rFonts w:ascii="Arial" w:hAnsi="Arial" w:cs="Arial"/>
                <w:color w:val="auto"/>
              </w:rPr>
              <w:t>Complete Assessed Work</w:t>
            </w:r>
          </w:p>
        </w:tc>
      </w:tr>
    </w:tbl>
    <w:p w14:paraId="111277EC" w14:textId="77777777" w:rsidR="009F6A14" w:rsidRDefault="009F6A14"/>
    <w:sectPr w:rsidR="009F6A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69C"/>
    <w:rsid w:val="0011632E"/>
    <w:rsid w:val="0055569C"/>
    <w:rsid w:val="007B5598"/>
    <w:rsid w:val="007F7952"/>
    <w:rsid w:val="00950F00"/>
    <w:rsid w:val="009F6A14"/>
    <w:rsid w:val="00BA580D"/>
    <w:rsid w:val="00CF6AB2"/>
    <w:rsid w:val="00E07E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A3348"/>
  <w15:chartTrackingRefBased/>
  <w15:docId w15:val="{7E4E9DD2-BAE1-41BC-A5B7-7D293DF63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569C"/>
    <w:rPr>
      <w:rFonts w:ascii="Trebuchet MS" w:hAnsi="Trebuchet MS" w:cs="Aptos"/>
      <w:color w:val="000000"/>
      <w:kern w:val="0"/>
      <w:sz w:val="24"/>
      <w:szCs w:val="24"/>
    </w:rPr>
  </w:style>
  <w:style w:type="paragraph" w:styleId="Heading1">
    <w:name w:val="heading 1"/>
    <w:basedOn w:val="Normal"/>
    <w:next w:val="Normal"/>
    <w:link w:val="Heading1Char"/>
    <w:uiPriority w:val="9"/>
    <w:qFormat/>
    <w:rsid w:val="0055569C"/>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unhideWhenUsed/>
    <w:qFormat/>
    <w:rsid w:val="00BA580D"/>
    <w:pPr>
      <w:keepNext/>
      <w:keepLines/>
      <w:spacing w:before="40"/>
      <w:outlineLvl w:val="1"/>
    </w:pPr>
    <w:rPr>
      <w:rFonts w:ascii="Arial" w:eastAsiaTheme="majorEastAsia" w:hAnsi="Arial"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55569C"/>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55569C"/>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55569C"/>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55569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569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569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569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A580D"/>
    <w:rPr>
      <w:rFonts w:ascii="Arial" w:eastAsiaTheme="majorEastAsia" w:hAnsi="Arial" w:cstheme="majorBidi"/>
      <w:color w:val="365F91" w:themeColor="accent1" w:themeShade="BF"/>
      <w:sz w:val="26"/>
      <w:szCs w:val="26"/>
    </w:rPr>
  </w:style>
  <w:style w:type="paragraph" w:styleId="Title">
    <w:name w:val="Title"/>
    <w:basedOn w:val="Normal"/>
    <w:next w:val="Normal"/>
    <w:link w:val="TitleChar"/>
    <w:uiPriority w:val="10"/>
    <w:qFormat/>
    <w:rsid w:val="007B5598"/>
    <w:pPr>
      <w:contextualSpacing/>
    </w:pPr>
    <w:rPr>
      <w:rFonts w:ascii="Arial" w:eastAsiaTheme="majorEastAsia" w:hAnsi="Arial" w:cstheme="majorBidi"/>
      <w:spacing w:val="-10"/>
      <w:kern w:val="28"/>
      <w:sz w:val="56"/>
      <w:szCs w:val="56"/>
    </w:rPr>
  </w:style>
  <w:style w:type="character" w:customStyle="1" w:styleId="TitleChar">
    <w:name w:val="Title Char"/>
    <w:basedOn w:val="DefaultParagraphFont"/>
    <w:link w:val="Title"/>
    <w:uiPriority w:val="10"/>
    <w:rsid w:val="007B5598"/>
    <w:rPr>
      <w:rFonts w:ascii="Arial" w:eastAsiaTheme="majorEastAsia" w:hAnsi="Arial" w:cstheme="majorBidi"/>
      <w:spacing w:val="-10"/>
      <w:kern w:val="28"/>
      <w:sz w:val="56"/>
      <w:szCs w:val="56"/>
    </w:rPr>
  </w:style>
  <w:style w:type="character" w:customStyle="1" w:styleId="Heading1Char">
    <w:name w:val="Heading 1 Char"/>
    <w:basedOn w:val="DefaultParagraphFont"/>
    <w:link w:val="Heading1"/>
    <w:uiPriority w:val="9"/>
    <w:rsid w:val="0055569C"/>
    <w:rPr>
      <w:rFonts w:asciiTheme="majorHAnsi" w:eastAsiaTheme="majorEastAsia" w:hAnsiTheme="majorHAnsi" w:cstheme="majorBidi"/>
      <w:color w:val="365F91" w:themeColor="accent1" w:themeShade="BF"/>
      <w:sz w:val="40"/>
      <w:szCs w:val="40"/>
    </w:rPr>
  </w:style>
  <w:style w:type="character" w:customStyle="1" w:styleId="Heading3Char">
    <w:name w:val="Heading 3 Char"/>
    <w:basedOn w:val="DefaultParagraphFont"/>
    <w:link w:val="Heading3"/>
    <w:uiPriority w:val="9"/>
    <w:semiHidden/>
    <w:rsid w:val="0055569C"/>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55569C"/>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55569C"/>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5556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56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56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569C"/>
    <w:rPr>
      <w:rFonts w:eastAsiaTheme="majorEastAsia" w:cstheme="majorBidi"/>
      <w:color w:val="272727" w:themeColor="text1" w:themeTint="D8"/>
    </w:rPr>
  </w:style>
  <w:style w:type="paragraph" w:styleId="Subtitle">
    <w:name w:val="Subtitle"/>
    <w:basedOn w:val="Normal"/>
    <w:next w:val="Normal"/>
    <w:link w:val="SubtitleChar"/>
    <w:uiPriority w:val="11"/>
    <w:qFormat/>
    <w:rsid w:val="0055569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56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569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5569C"/>
    <w:rPr>
      <w:i/>
      <w:iCs/>
      <w:color w:val="404040" w:themeColor="text1" w:themeTint="BF"/>
    </w:rPr>
  </w:style>
  <w:style w:type="paragraph" w:styleId="ListParagraph">
    <w:name w:val="List Paragraph"/>
    <w:basedOn w:val="Normal"/>
    <w:uiPriority w:val="34"/>
    <w:qFormat/>
    <w:rsid w:val="0055569C"/>
    <w:pPr>
      <w:ind w:left="720"/>
      <w:contextualSpacing/>
    </w:pPr>
  </w:style>
  <w:style w:type="character" w:styleId="IntenseEmphasis">
    <w:name w:val="Intense Emphasis"/>
    <w:basedOn w:val="DefaultParagraphFont"/>
    <w:uiPriority w:val="21"/>
    <w:qFormat/>
    <w:rsid w:val="0055569C"/>
    <w:rPr>
      <w:i/>
      <w:iCs/>
      <w:color w:val="365F91" w:themeColor="accent1" w:themeShade="BF"/>
    </w:rPr>
  </w:style>
  <w:style w:type="paragraph" w:styleId="IntenseQuote">
    <w:name w:val="Intense Quote"/>
    <w:basedOn w:val="Normal"/>
    <w:next w:val="Normal"/>
    <w:link w:val="IntenseQuoteChar"/>
    <w:uiPriority w:val="30"/>
    <w:qFormat/>
    <w:rsid w:val="0055569C"/>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55569C"/>
    <w:rPr>
      <w:i/>
      <w:iCs/>
      <w:color w:val="365F91" w:themeColor="accent1" w:themeShade="BF"/>
    </w:rPr>
  </w:style>
  <w:style w:type="character" w:styleId="IntenseReference">
    <w:name w:val="Intense Reference"/>
    <w:basedOn w:val="DefaultParagraphFont"/>
    <w:uiPriority w:val="32"/>
    <w:qFormat/>
    <w:rsid w:val="0055569C"/>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1446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1AA938FE962A45A3E19DCBCF209F91" ma:contentTypeVersion="14" ma:contentTypeDescription="Create a new document." ma:contentTypeScope="" ma:versionID="a5e38d118dfaac7415ddc743547f7531">
  <xsd:schema xmlns:xsd="http://www.w3.org/2001/XMLSchema" xmlns:xs="http://www.w3.org/2001/XMLSchema" xmlns:p="http://schemas.microsoft.com/office/2006/metadata/properties" xmlns:ns3="32678723-8c06-45e1-8bd0-318b9868a43d" xmlns:ns4="5789755c-de38-4fe3-9623-40afa3bba1e2" targetNamespace="http://schemas.microsoft.com/office/2006/metadata/properties" ma:root="true" ma:fieldsID="62557a9c7ccadc03a79f6d9aa8c6758f" ns3:_="" ns4:_="">
    <xsd:import namespace="32678723-8c06-45e1-8bd0-318b9868a43d"/>
    <xsd:import namespace="5789755c-de38-4fe3-9623-40afa3bba1e2"/>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MediaServiceObjectDetectorVersions" minOccurs="0"/>
                <xsd:element ref="ns3:MediaServiceGenerationTime" minOccurs="0"/>
                <xsd:element ref="ns3:MediaServiceEventHashCode"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678723-8c06-45e1-8bd0-318b9868a4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89755c-de38-4fe3-9623-40afa3bba1e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2678723-8c06-45e1-8bd0-318b9868a43d" xsi:nil="true"/>
  </documentManagement>
</p:properties>
</file>

<file path=customXml/itemProps1.xml><?xml version="1.0" encoding="utf-8"?>
<ds:datastoreItem xmlns:ds="http://schemas.openxmlformats.org/officeDocument/2006/customXml" ds:itemID="{B9B432B6-3ACE-4934-A496-BA72BEE8F9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678723-8c06-45e1-8bd0-318b9868a43d"/>
    <ds:schemaRef ds:uri="5789755c-de38-4fe3-9623-40afa3bba1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4342CE-DA02-4E23-8658-A553014E6B0B}">
  <ds:schemaRefs>
    <ds:schemaRef ds:uri="http://schemas.microsoft.com/sharepoint/v3/contenttype/forms"/>
  </ds:schemaRefs>
</ds:datastoreItem>
</file>

<file path=customXml/itemProps3.xml><?xml version="1.0" encoding="utf-8"?>
<ds:datastoreItem xmlns:ds="http://schemas.openxmlformats.org/officeDocument/2006/customXml" ds:itemID="{9858A19A-6C90-44B1-9660-9ED57903B89C}">
  <ds:schemaRefs>
    <ds:schemaRef ds:uri="5789755c-de38-4fe3-9623-40afa3bba1e2"/>
    <ds:schemaRef ds:uri="http://www.w3.org/XML/1998/namespace"/>
    <ds:schemaRef ds:uri="http://schemas.microsoft.com/office/2006/documentManagement/types"/>
    <ds:schemaRef ds:uri="http://purl.org/dc/elements/1.1/"/>
    <ds:schemaRef ds:uri="http://purl.org/dc/dcmitype/"/>
    <ds:schemaRef ds:uri="32678723-8c06-45e1-8bd0-318b9868a43d"/>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424</Words>
  <Characters>2418</Characters>
  <Application>Microsoft Office Word</Application>
  <DocSecurity>0</DocSecurity>
  <Lines>20</Lines>
  <Paragraphs>5</Paragraphs>
  <ScaleCrop>false</ScaleCrop>
  <Company/>
  <LinksUpToDate>false</LinksUpToDate>
  <CharactersWithSpaces>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Paul (NHS CORNWALL AND THE ISLES OF SCILLY ICB - 11N)</dc:creator>
  <cp:keywords/>
  <dc:description/>
  <cp:lastModifiedBy>JEFFREY, Paul (NHS CORNWALL AND THE ISLES OF SCILLY ICB - 11N)</cp:lastModifiedBy>
  <cp:revision>2</cp:revision>
  <dcterms:created xsi:type="dcterms:W3CDTF">2024-10-30T13:52:00Z</dcterms:created>
  <dcterms:modified xsi:type="dcterms:W3CDTF">2024-10-30T13:52:00Z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0x010100831AA938FE962A45A3E19DCBCF209F91</vt:lpwstr>
  </property>
</Properties>
</file>