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1922"/>
        <w:gridCol w:w="5487"/>
        <w:gridCol w:w="1607"/>
      </w:tblGrid>
      <w:tr w:rsidR="00D860CE" w:rsidTr="00DE35A8">
        <w:tc>
          <w:tcPr>
            <w:tcW w:w="1951" w:type="dxa"/>
          </w:tcPr>
          <w:p w:rsidR="00D860CE" w:rsidRPr="00D860CE" w:rsidRDefault="00D860CE" w:rsidP="00DE35A8">
            <w:pPr>
              <w:rPr>
                <w:b/>
              </w:rPr>
            </w:pPr>
            <w:r w:rsidRPr="00D860CE">
              <w:rPr>
                <w:b/>
                <w:sz w:val="24"/>
              </w:rPr>
              <w:t>Date &amp; Time</w:t>
            </w:r>
          </w:p>
        </w:tc>
        <w:tc>
          <w:tcPr>
            <w:tcW w:w="7291" w:type="dxa"/>
            <w:gridSpan w:val="2"/>
          </w:tcPr>
          <w:p w:rsidR="00D860CE" w:rsidRPr="00D860CE" w:rsidRDefault="00D860CE" w:rsidP="00DE35A8">
            <w:pPr>
              <w:jc w:val="center"/>
              <w:rPr>
                <w:b/>
                <w:sz w:val="28"/>
              </w:rPr>
            </w:pPr>
            <w:r w:rsidRPr="00D860CE">
              <w:rPr>
                <w:b/>
                <w:sz w:val="28"/>
              </w:rPr>
              <w:t>Gold Standards Framework Care Plan</w:t>
            </w:r>
          </w:p>
          <w:p w:rsidR="00D860CE" w:rsidRDefault="00D860CE" w:rsidP="00DE35A8">
            <w:pPr>
              <w:jc w:val="center"/>
            </w:pPr>
            <w:r w:rsidRPr="00D860CE">
              <w:rPr>
                <w:b/>
                <w:sz w:val="28"/>
              </w:rPr>
              <w:t>Needs Based Coding Green</w:t>
            </w:r>
          </w:p>
        </w:tc>
      </w:tr>
      <w:tr w:rsidR="0008173D" w:rsidTr="0008173D">
        <w:tc>
          <w:tcPr>
            <w:tcW w:w="9242" w:type="dxa"/>
            <w:gridSpan w:val="3"/>
            <w:shd w:val="clear" w:color="auto" w:fill="C2D69B" w:themeFill="accent3" w:themeFillTint="99"/>
          </w:tcPr>
          <w:p w:rsidR="0008173D" w:rsidRDefault="0008173D" w:rsidP="00DE35A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Patients have differing requirements at varying stages of their illness, the use of </w:t>
            </w:r>
            <w:r w:rsidR="00741FBF">
              <w:t>needs-based</w:t>
            </w:r>
            <w:r>
              <w:t xml:space="preserve"> colour coding can be very helpful in prioritising need.  This helps focus on giving the right care at the right time, with regular reviews to trigger actions at each stage</w:t>
            </w:r>
          </w:p>
          <w:p w:rsidR="0008173D" w:rsidRDefault="0008173D" w:rsidP="00DE35A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Coding Green suggests unstable advanced disease significantly impacting on day to day living with potentially months prognosis</w:t>
            </w:r>
          </w:p>
        </w:tc>
      </w:tr>
      <w:tr w:rsidR="00490D72" w:rsidTr="00DE35A8">
        <w:tc>
          <w:tcPr>
            <w:tcW w:w="9242" w:type="dxa"/>
            <w:gridSpan w:val="3"/>
          </w:tcPr>
          <w:p w:rsidR="00490D72" w:rsidRPr="00490D72" w:rsidRDefault="00490D72" w:rsidP="00DE35A8">
            <w:pPr>
              <w:jc w:val="center"/>
              <w:rPr>
                <w:b/>
              </w:rPr>
            </w:pPr>
            <w:r w:rsidRPr="00490D72">
              <w:rPr>
                <w:b/>
                <w:sz w:val="24"/>
              </w:rPr>
              <w:t>Patient agreed goals/outcomes</w:t>
            </w:r>
          </w:p>
        </w:tc>
      </w:tr>
      <w:tr w:rsidR="00490D72" w:rsidTr="00DE35A8">
        <w:tc>
          <w:tcPr>
            <w:tcW w:w="9242" w:type="dxa"/>
            <w:gridSpan w:val="3"/>
          </w:tcPr>
          <w:p w:rsidR="00490D72" w:rsidRDefault="00490D72" w:rsidP="00DE35A8">
            <w:pPr>
              <w:pStyle w:val="ListParagraph"/>
              <w:numPr>
                <w:ilvl w:val="0"/>
                <w:numId w:val="2"/>
              </w:numPr>
            </w:pPr>
            <w:r>
              <w:t>To give proactive care, ensuring that appropriate care is being coordinated to meet the needs of the patient</w:t>
            </w:r>
          </w:p>
          <w:p w:rsidR="00490D72" w:rsidRDefault="00490D72" w:rsidP="00DE35A8">
            <w:pPr>
              <w:pStyle w:val="ListParagraph"/>
              <w:numPr>
                <w:ilvl w:val="0"/>
                <w:numId w:val="2"/>
              </w:numPr>
            </w:pPr>
            <w:r>
              <w:t>To give the patient the opportunity to discuss their wishes and preferences</w:t>
            </w:r>
          </w:p>
          <w:p w:rsidR="00490D72" w:rsidRDefault="00490D72" w:rsidP="00DE35A8">
            <w:pPr>
              <w:pStyle w:val="ListParagraph"/>
              <w:numPr>
                <w:ilvl w:val="0"/>
                <w:numId w:val="2"/>
              </w:numPr>
            </w:pPr>
            <w:r>
              <w:t>To ensure the effective communication and collaboration across care settings takes place aligned with patient’s needs</w:t>
            </w:r>
          </w:p>
        </w:tc>
      </w:tr>
      <w:tr w:rsidR="00490D72" w:rsidTr="00DE35A8">
        <w:tc>
          <w:tcPr>
            <w:tcW w:w="7621" w:type="dxa"/>
            <w:gridSpan w:val="2"/>
          </w:tcPr>
          <w:p w:rsidR="00490D72" w:rsidRPr="00490D72" w:rsidRDefault="00490D72" w:rsidP="00DE35A8">
            <w:pPr>
              <w:jc w:val="center"/>
              <w:rPr>
                <w:b/>
              </w:rPr>
            </w:pPr>
            <w:r w:rsidRPr="00490D72">
              <w:rPr>
                <w:b/>
                <w:sz w:val="24"/>
              </w:rPr>
              <w:t>Actions, Intervention and Care Instructions</w:t>
            </w:r>
          </w:p>
        </w:tc>
        <w:tc>
          <w:tcPr>
            <w:tcW w:w="1621" w:type="dxa"/>
          </w:tcPr>
          <w:p w:rsidR="00490D72" w:rsidRPr="00490D72" w:rsidRDefault="00490D72" w:rsidP="00DE35A8">
            <w:pPr>
              <w:rPr>
                <w:b/>
              </w:rPr>
            </w:pPr>
            <w:r w:rsidRPr="00490D72">
              <w:rPr>
                <w:b/>
                <w:sz w:val="24"/>
              </w:rPr>
              <w:t>Signature &amp; Date</w:t>
            </w:r>
          </w:p>
        </w:tc>
      </w:tr>
      <w:tr w:rsidR="00490D72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3317BA" w:rsidP="0008173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patient and refer to GP for inclusion </w:t>
            </w:r>
            <w:r w:rsidRPr="005F5366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5F5366">
              <w:rPr>
                <w:rFonts w:ascii="Arial" w:hAnsi="Arial" w:cs="Arial"/>
                <w:sz w:val="20"/>
                <w:szCs w:val="20"/>
              </w:rPr>
              <w:t xml:space="preserve"> Palliative care register.</w:t>
            </w:r>
          </w:p>
        </w:tc>
        <w:tc>
          <w:tcPr>
            <w:tcW w:w="1621" w:type="dxa"/>
          </w:tcPr>
          <w:p w:rsidR="00490D72" w:rsidRDefault="00490D72" w:rsidP="00DE35A8"/>
        </w:tc>
      </w:tr>
      <w:tr w:rsidR="0008173D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08173D" w:rsidRDefault="0008173D" w:rsidP="00DE35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F5366">
              <w:rPr>
                <w:rFonts w:ascii="Arial" w:hAnsi="Arial" w:cs="Arial"/>
                <w:sz w:val="20"/>
                <w:szCs w:val="20"/>
              </w:rPr>
              <w:t xml:space="preserve">Review coding </w:t>
            </w:r>
            <w:r>
              <w:rPr>
                <w:rFonts w:ascii="Arial" w:hAnsi="Arial" w:cs="Arial"/>
                <w:sz w:val="20"/>
                <w:szCs w:val="20"/>
              </w:rPr>
              <w:t xml:space="preserve">at board round and update MDT team and GP </w:t>
            </w:r>
            <w:r w:rsidRPr="005F5366"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>
              <w:rPr>
                <w:rFonts w:ascii="Arial" w:hAnsi="Arial" w:cs="Arial"/>
                <w:sz w:val="20"/>
                <w:szCs w:val="20"/>
              </w:rPr>
              <w:t>as part of discharge plan.</w:t>
            </w:r>
          </w:p>
        </w:tc>
        <w:tc>
          <w:tcPr>
            <w:tcW w:w="1621" w:type="dxa"/>
          </w:tcPr>
          <w:p w:rsidR="0008173D" w:rsidRDefault="0008173D" w:rsidP="00DE35A8"/>
        </w:tc>
      </w:tr>
      <w:tr w:rsidR="00490D72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ED4DA4" w:rsidP="00DE35A8">
            <w:pPr>
              <w:pStyle w:val="ListParagraph"/>
              <w:numPr>
                <w:ilvl w:val="0"/>
                <w:numId w:val="3"/>
              </w:numPr>
            </w:pPr>
            <w:r w:rsidRPr="005F5366">
              <w:rPr>
                <w:rFonts w:ascii="Arial" w:hAnsi="Arial" w:cs="Arial"/>
                <w:sz w:val="20"/>
                <w:szCs w:val="20"/>
              </w:rPr>
              <w:t xml:space="preserve">Communicate with &amp; involve </w:t>
            </w:r>
            <w:r>
              <w:rPr>
                <w:rFonts w:ascii="Arial" w:hAnsi="Arial" w:cs="Arial"/>
                <w:sz w:val="20"/>
                <w:szCs w:val="20"/>
              </w:rPr>
              <w:t xml:space="preserve">patient, </w:t>
            </w:r>
            <w:r w:rsidRPr="005F5366">
              <w:rPr>
                <w:rFonts w:ascii="Arial" w:hAnsi="Arial" w:cs="Arial"/>
                <w:sz w:val="20"/>
                <w:szCs w:val="20"/>
              </w:rPr>
              <w:t xml:space="preserve">family,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others important to them </w:t>
            </w:r>
            <w:r w:rsidRPr="005F5366">
              <w:rPr>
                <w:rFonts w:ascii="Arial" w:hAnsi="Arial" w:cs="Arial"/>
                <w:sz w:val="20"/>
                <w:szCs w:val="20"/>
              </w:rPr>
              <w:t xml:space="preserve">in planning </w:t>
            </w:r>
            <w:r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5F5366">
              <w:rPr>
                <w:rFonts w:ascii="Arial" w:hAnsi="Arial" w:cs="Arial"/>
                <w:sz w:val="20"/>
                <w:szCs w:val="20"/>
              </w:rPr>
              <w:t>care</w:t>
            </w:r>
          </w:p>
        </w:tc>
        <w:tc>
          <w:tcPr>
            <w:tcW w:w="1621" w:type="dxa"/>
          </w:tcPr>
          <w:p w:rsidR="00490D72" w:rsidRDefault="00490D72" w:rsidP="00DE35A8"/>
        </w:tc>
      </w:tr>
      <w:tr w:rsidR="00490D72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C2289C" w:rsidP="0008173D">
            <w:pPr>
              <w:pStyle w:val="ListParagraph"/>
              <w:numPr>
                <w:ilvl w:val="0"/>
                <w:numId w:val="3"/>
              </w:numPr>
            </w:pPr>
            <w:r>
              <w:t>Ongoing Clinical assessment using appropriate tools.</w:t>
            </w:r>
          </w:p>
        </w:tc>
        <w:tc>
          <w:tcPr>
            <w:tcW w:w="1621" w:type="dxa"/>
          </w:tcPr>
          <w:p w:rsidR="00490D72" w:rsidRDefault="00490D72" w:rsidP="00DE35A8"/>
        </w:tc>
      </w:tr>
      <w:tr w:rsidR="0008173D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08173D" w:rsidRDefault="0008173D" w:rsidP="00C2289C">
            <w:pPr>
              <w:pStyle w:val="ListParagraph"/>
              <w:numPr>
                <w:ilvl w:val="0"/>
                <w:numId w:val="3"/>
              </w:numPr>
            </w:pPr>
            <w:r w:rsidRPr="0008173D">
              <w:t>Consider referral to other specialists for support, including CHC and SR1 to access financial benefits</w:t>
            </w:r>
          </w:p>
        </w:tc>
        <w:tc>
          <w:tcPr>
            <w:tcW w:w="1621" w:type="dxa"/>
          </w:tcPr>
          <w:p w:rsidR="0008173D" w:rsidRDefault="0008173D" w:rsidP="00DE35A8"/>
        </w:tc>
      </w:tr>
      <w:tr w:rsidR="00490D72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23151D" w:rsidP="0008173D">
            <w:pPr>
              <w:pStyle w:val="ListParagraph"/>
              <w:numPr>
                <w:ilvl w:val="0"/>
                <w:numId w:val="3"/>
              </w:numPr>
            </w:pPr>
            <w:r>
              <w:t>Advance / Best Interest Care Plan - provide written information to patient and family or others important to them.</w:t>
            </w:r>
          </w:p>
        </w:tc>
        <w:tc>
          <w:tcPr>
            <w:tcW w:w="1621" w:type="dxa"/>
          </w:tcPr>
          <w:p w:rsidR="00490D72" w:rsidRDefault="00490D72" w:rsidP="00DE35A8"/>
        </w:tc>
      </w:tr>
      <w:tr w:rsidR="0008173D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08173D" w:rsidRDefault="0008173D" w:rsidP="0023151D">
            <w:pPr>
              <w:pStyle w:val="ListParagraph"/>
              <w:numPr>
                <w:ilvl w:val="0"/>
                <w:numId w:val="3"/>
              </w:numPr>
            </w:pPr>
            <w:r>
              <w:t>Offer or review ACP / best interest discussion. Identify if LPOA or proxy</w:t>
            </w:r>
          </w:p>
        </w:tc>
        <w:tc>
          <w:tcPr>
            <w:tcW w:w="1621" w:type="dxa"/>
          </w:tcPr>
          <w:p w:rsidR="0008173D" w:rsidRDefault="0008173D" w:rsidP="00DE35A8"/>
        </w:tc>
      </w:tr>
      <w:tr w:rsidR="00490D72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3824D0" w:rsidP="009B2A87">
            <w:pPr>
              <w:pStyle w:val="ListParagraph"/>
              <w:numPr>
                <w:ilvl w:val="0"/>
                <w:numId w:val="3"/>
              </w:numPr>
            </w:pPr>
            <w:r>
              <w:t>Review Resus status as appropriate.</w:t>
            </w:r>
          </w:p>
        </w:tc>
        <w:tc>
          <w:tcPr>
            <w:tcW w:w="1621" w:type="dxa"/>
          </w:tcPr>
          <w:p w:rsidR="00490D72" w:rsidRDefault="00490D72" w:rsidP="00DE35A8"/>
        </w:tc>
      </w:tr>
      <w:tr w:rsidR="009B2A87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9B2A87" w:rsidRDefault="009B2A87" w:rsidP="003824D0">
            <w:pPr>
              <w:pStyle w:val="ListParagraph"/>
              <w:numPr>
                <w:ilvl w:val="0"/>
                <w:numId w:val="3"/>
              </w:numPr>
            </w:pPr>
            <w:r>
              <w:t>Establish if ADRT is appropriate</w:t>
            </w:r>
          </w:p>
        </w:tc>
        <w:tc>
          <w:tcPr>
            <w:tcW w:w="1621" w:type="dxa"/>
          </w:tcPr>
          <w:p w:rsidR="009B2A87" w:rsidRDefault="009B2A87" w:rsidP="00DE35A8"/>
        </w:tc>
      </w:tr>
      <w:tr w:rsidR="00490D72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805262" w:rsidP="009B2A87">
            <w:pPr>
              <w:pStyle w:val="ListParagraph"/>
              <w:numPr>
                <w:ilvl w:val="0"/>
                <w:numId w:val="3"/>
              </w:numPr>
            </w:pPr>
            <w:r>
              <w:t>Emergency Health Care</w:t>
            </w:r>
            <w:r w:rsidR="009B2A87">
              <w:t xml:space="preserve"> </w:t>
            </w:r>
            <w:r>
              <w:t xml:space="preserve">Plan, TEP plan and/or </w:t>
            </w:r>
            <w:proofErr w:type="spellStart"/>
            <w:r>
              <w:t>ReSPECT</w:t>
            </w:r>
            <w:proofErr w:type="spellEnd"/>
            <w:r>
              <w:t xml:space="preserve"> form and upload patient information on to local EPaCCS or as part of discharge process.</w:t>
            </w:r>
          </w:p>
        </w:tc>
        <w:tc>
          <w:tcPr>
            <w:tcW w:w="1621" w:type="dxa"/>
          </w:tcPr>
          <w:p w:rsidR="00490D72" w:rsidRDefault="00490D72" w:rsidP="00DE35A8"/>
        </w:tc>
      </w:tr>
      <w:tr w:rsidR="009B2A87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9B2A87" w:rsidRDefault="00D61AE5" w:rsidP="00805262">
            <w:pPr>
              <w:pStyle w:val="ListParagraph"/>
              <w:numPr>
                <w:ilvl w:val="0"/>
                <w:numId w:val="3"/>
              </w:numPr>
            </w:pPr>
            <w:r>
              <w:t>Review/audit/ reflect on hospital admissions</w:t>
            </w:r>
          </w:p>
        </w:tc>
        <w:tc>
          <w:tcPr>
            <w:tcW w:w="1621" w:type="dxa"/>
          </w:tcPr>
          <w:p w:rsidR="009B2A87" w:rsidRDefault="009B2A87" w:rsidP="00DE35A8"/>
        </w:tc>
      </w:tr>
      <w:tr w:rsidR="00490D72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741FBF" w:rsidP="007407F9">
            <w:pPr>
              <w:pStyle w:val="ListParagraph"/>
              <w:numPr>
                <w:ilvl w:val="0"/>
                <w:numId w:val="3"/>
              </w:numPr>
            </w:pPr>
            <w:r w:rsidRPr="005F5366">
              <w:rPr>
                <w:rFonts w:ascii="Arial" w:hAnsi="Arial" w:cs="Arial"/>
                <w:sz w:val="20"/>
                <w:szCs w:val="20"/>
              </w:rPr>
              <w:t>Assess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patient’s </w:t>
            </w:r>
            <w:r w:rsidRPr="005F5366">
              <w:rPr>
                <w:rFonts w:ascii="Arial" w:hAnsi="Arial" w:cs="Arial"/>
                <w:sz w:val="20"/>
                <w:szCs w:val="20"/>
              </w:rPr>
              <w:t xml:space="preserve">needs &amp; </w:t>
            </w:r>
            <w:r>
              <w:rPr>
                <w:rFonts w:ascii="Arial" w:hAnsi="Arial" w:cs="Arial"/>
                <w:sz w:val="20"/>
                <w:szCs w:val="20"/>
              </w:rPr>
              <w:t>offer</w:t>
            </w:r>
            <w:r w:rsidRPr="005F5366"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>
              <w:rPr>
                <w:rFonts w:ascii="Arial" w:hAnsi="Arial" w:cs="Arial"/>
                <w:sz w:val="20"/>
                <w:szCs w:val="20"/>
              </w:rPr>
              <w:t>/ signpost family or others important to the patient</w:t>
            </w:r>
            <w:r w:rsidRPr="005F53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:rsidR="00490D72" w:rsidRDefault="00490D72" w:rsidP="00DE35A8"/>
        </w:tc>
      </w:tr>
      <w:tr w:rsidR="00ED3133" w:rsidTr="00DE35A8">
        <w:trPr>
          <w:trHeight w:val="624"/>
        </w:trPr>
        <w:tc>
          <w:tcPr>
            <w:tcW w:w="7621" w:type="dxa"/>
            <w:gridSpan w:val="2"/>
            <w:vAlign w:val="center"/>
          </w:tcPr>
          <w:p w:rsidR="00ED3133" w:rsidRDefault="00ED3133" w:rsidP="00ED3133">
            <w:r>
              <w:t>Patient’s personalised goals / interventions:</w:t>
            </w:r>
          </w:p>
          <w:p w:rsidR="00ED3133" w:rsidRDefault="00ED3133" w:rsidP="00ED3133"/>
          <w:p w:rsidR="00ED3133" w:rsidRDefault="00ED3133" w:rsidP="00ED3133"/>
          <w:p w:rsidR="00ED3133" w:rsidRDefault="00ED3133" w:rsidP="00ED3133"/>
          <w:p w:rsidR="00ED3133" w:rsidRDefault="00ED3133" w:rsidP="00ED3133"/>
          <w:p w:rsidR="00ED3133" w:rsidRDefault="00ED3133" w:rsidP="00ED3133"/>
          <w:p w:rsidR="00ED3133" w:rsidRPr="005F5366" w:rsidRDefault="00ED3133" w:rsidP="00ED313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ED3133" w:rsidRDefault="00ED3133" w:rsidP="00DE35A8"/>
        </w:tc>
      </w:tr>
    </w:tbl>
    <w:p w:rsidR="00031380" w:rsidRDefault="00031380"/>
    <w:sectPr w:rsidR="000313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5E69" w:rsidRDefault="00025E69" w:rsidP="00DC4651">
      <w:pPr>
        <w:spacing w:after="0" w:line="240" w:lineRule="auto"/>
      </w:pPr>
      <w:r>
        <w:separator/>
      </w:r>
    </w:p>
  </w:endnote>
  <w:endnote w:type="continuationSeparator" w:id="0">
    <w:p w:rsidR="00025E69" w:rsidRDefault="00025E69" w:rsidP="00DC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2D51" w:rsidRDefault="00F4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4651" w:rsidRPr="001C6F79" w:rsidRDefault="001C6F79" w:rsidP="001C6F79">
    <w:pPr>
      <w:pStyle w:val="xmsonormal"/>
      <w:ind w:left="-1276" w:firstLine="360"/>
      <w:rPr>
        <w:i/>
        <w:sz w:val="12"/>
        <w:szCs w:val="12"/>
      </w:rPr>
    </w:pPr>
    <w:r w:rsidRPr="001C6F79">
      <w:rPr>
        <w:rFonts w:ascii="Arial" w:hAnsi="Arial" w:cs="Arial"/>
        <w:sz w:val="12"/>
        <w:szCs w:val="12"/>
        <w:lang w:val="en-GB"/>
      </w:rPr>
      <w:t>GSF Centre CIO ©2023 Use under Licence by The Gold Standards Framework Centre CIO</w:t>
    </w:r>
    <w:r w:rsidR="00D4148B">
      <w:rPr>
        <w:rFonts w:ascii="Arial" w:hAnsi="Arial" w:cs="Arial"/>
        <w:sz w:val="16"/>
        <w:szCs w:val="16"/>
        <w:lang w:val="en-GB"/>
      </w:rPr>
      <w:t xml:space="preserve">, </w:t>
    </w:r>
    <w:r w:rsidR="00DC4651" w:rsidRPr="001C6F79">
      <w:rPr>
        <w:i/>
        <w:sz w:val="12"/>
        <w:szCs w:val="12"/>
      </w:rPr>
      <w:t>Adapted from the Core Care Plan by Peninsula</w:t>
    </w:r>
    <w:r w:rsidRPr="001C6F79">
      <w:rPr>
        <w:i/>
        <w:sz w:val="12"/>
        <w:szCs w:val="12"/>
      </w:rPr>
      <w:t xml:space="preserve"> </w:t>
    </w:r>
    <w:r w:rsidR="00DC4651" w:rsidRPr="001C6F79">
      <w:rPr>
        <w:i/>
        <w:sz w:val="12"/>
        <w:szCs w:val="12"/>
      </w:rPr>
      <w:t>Community Health CIC</w:t>
    </w:r>
    <w:r w:rsidR="00D4148B">
      <w:rPr>
        <w:i/>
        <w:sz w:val="12"/>
        <w:szCs w:val="1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2D51" w:rsidRDefault="00F4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5E69" w:rsidRDefault="00025E69" w:rsidP="00DC4651">
      <w:pPr>
        <w:spacing w:after="0" w:line="240" w:lineRule="auto"/>
      </w:pPr>
      <w:r>
        <w:separator/>
      </w:r>
    </w:p>
  </w:footnote>
  <w:footnote w:type="continuationSeparator" w:id="0">
    <w:p w:rsidR="00025E69" w:rsidRDefault="00025E69" w:rsidP="00DC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2D51" w:rsidRDefault="00F4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4651" w:rsidRDefault="00930085" w:rsidP="00DC4651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47944B" wp14:editId="1A47944C">
              <wp:simplePos x="0" y="0"/>
              <wp:positionH relativeFrom="column">
                <wp:posOffset>-71120</wp:posOffset>
              </wp:positionH>
              <wp:positionV relativeFrom="paragraph">
                <wp:posOffset>319405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085" w:rsidRPr="00930085" w:rsidRDefault="00930085">
                          <w:pPr>
                            <w:rPr>
                              <w:b/>
                              <w:sz w:val="28"/>
                              <w:u w:val="single"/>
                            </w:rPr>
                          </w:pPr>
                          <w:r w:rsidRPr="00930085">
                            <w:rPr>
                              <w:b/>
                              <w:sz w:val="28"/>
                              <w:u w:val="single"/>
                            </w:rPr>
                            <w:t>GSF Core Care Plan Green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794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6pt;margin-top:25.15pt;width:186.95pt;height:110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Aaj/IPhAAAACgEAAA8AAAAAAAAAAAAAAAAAaQQAAGRycy9kb3ducmV2LnhtbFBLBQYAAAAABAAE&#10;APMAAAB3BQAAAAA=&#10;" stroked="f">
              <v:textbox style="mso-fit-shape-to-text:t">
                <w:txbxContent>
                  <w:p w:rsidR="00930085" w:rsidRPr="00930085" w:rsidRDefault="00930085">
                    <w:pPr>
                      <w:rPr>
                        <w:b/>
                        <w:sz w:val="28"/>
                        <w:u w:val="single"/>
                      </w:rPr>
                    </w:pPr>
                    <w:r w:rsidRPr="00930085">
                      <w:rPr>
                        <w:b/>
                        <w:sz w:val="28"/>
                        <w:u w:val="single"/>
                      </w:rPr>
                      <w:t>GSF Core Care Plan Green</w:t>
                    </w:r>
                  </w:p>
                </w:txbxContent>
              </v:textbox>
            </v:shape>
          </w:pict>
        </mc:Fallback>
      </mc:AlternateContent>
    </w:r>
    <w:r w:rsidR="00DC4651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A47944D" wp14:editId="1A47944E">
          <wp:simplePos x="0" y="0"/>
          <wp:positionH relativeFrom="column">
            <wp:posOffset>4381500</wp:posOffset>
          </wp:positionH>
          <wp:positionV relativeFrom="paragraph">
            <wp:posOffset>-1905</wp:posOffset>
          </wp:positionV>
          <wp:extent cx="1350010" cy="44704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F General - Low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2D51" w:rsidRDefault="00F4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0E2B"/>
    <w:multiLevelType w:val="hybridMultilevel"/>
    <w:tmpl w:val="68365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36DF9"/>
    <w:multiLevelType w:val="hybridMultilevel"/>
    <w:tmpl w:val="7DDE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D5C14"/>
    <w:multiLevelType w:val="hybridMultilevel"/>
    <w:tmpl w:val="F408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76462">
    <w:abstractNumId w:val="0"/>
  </w:num>
  <w:num w:numId="2" w16cid:durableId="1797018957">
    <w:abstractNumId w:val="1"/>
  </w:num>
  <w:num w:numId="3" w16cid:durableId="49102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CE"/>
    <w:rsid w:val="00025E69"/>
    <w:rsid w:val="00031380"/>
    <w:rsid w:val="00046006"/>
    <w:rsid w:val="0008173D"/>
    <w:rsid w:val="001C6F79"/>
    <w:rsid w:val="002069EF"/>
    <w:rsid w:val="0023151D"/>
    <w:rsid w:val="00280279"/>
    <w:rsid w:val="0029157E"/>
    <w:rsid w:val="002A7385"/>
    <w:rsid w:val="002C25CA"/>
    <w:rsid w:val="003317BA"/>
    <w:rsid w:val="003444A5"/>
    <w:rsid w:val="00375E77"/>
    <w:rsid w:val="003824D0"/>
    <w:rsid w:val="00490D72"/>
    <w:rsid w:val="005C64DE"/>
    <w:rsid w:val="00690EBE"/>
    <w:rsid w:val="006C65EE"/>
    <w:rsid w:val="006E22A2"/>
    <w:rsid w:val="00733E22"/>
    <w:rsid w:val="007407F9"/>
    <w:rsid w:val="00741FBF"/>
    <w:rsid w:val="007755D6"/>
    <w:rsid w:val="00805262"/>
    <w:rsid w:val="00861130"/>
    <w:rsid w:val="0088588D"/>
    <w:rsid w:val="00930085"/>
    <w:rsid w:val="009B2A87"/>
    <w:rsid w:val="00AA03FC"/>
    <w:rsid w:val="00AA3AA5"/>
    <w:rsid w:val="00B953FA"/>
    <w:rsid w:val="00C00D36"/>
    <w:rsid w:val="00C2289C"/>
    <w:rsid w:val="00C30275"/>
    <w:rsid w:val="00C8657C"/>
    <w:rsid w:val="00D21BCB"/>
    <w:rsid w:val="00D4148B"/>
    <w:rsid w:val="00D61AE5"/>
    <w:rsid w:val="00D72DDC"/>
    <w:rsid w:val="00D860CE"/>
    <w:rsid w:val="00DC4651"/>
    <w:rsid w:val="00DD1151"/>
    <w:rsid w:val="00DE35A8"/>
    <w:rsid w:val="00EA364D"/>
    <w:rsid w:val="00ED3133"/>
    <w:rsid w:val="00ED4DA4"/>
    <w:rsid w:val="00F140B9"/>
    <w:rsid w:val="00F42D51"/>
    <w:rsid w:val="00F50F8C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9406"/>
  <w15:docId w15:val="{5668193C-D442-4204-A150-D7881D9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51"/>
  </w:style>
  <w:style w:type="paragraph" w:styleId="Footer">
    <w:name w:val="footer"/>
    <w:basedOn w:val="Normal"/>
    <w:link w:val="FooterChar"/>
    <w:uiPriority w:val="99"/>
    <w:unhideWhenUsed/>
    <w:rsid w:val="00DC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51"/>
  </w:style>
  <w:style w:type="paragraph" w:styleId="BalloonText">
    <w:name w:val="Balloon Text"/>
    <w:basedOn w:val="Normal"/>
    <w:link w:val="BalloonTextChar"/>
    <w:uiPriority w:val="99"/>
    <w:semiHidden/>
    <w:unhideWhenUsed/>
    <w:rsid w:val="00DC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51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C6F79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8BF8DA452314BBACE82926C82066E" ma:contentTypeVersion="17" ma:contentTypeDescription="Create a new document." ma:contentTypeScope="" ma:versionID="3123d6bd48016937ccebc085c9ac5b47">
  <xsd:schema xmlns:xsd="http://www.w3.org/2001/XMLSchema" xmlns:xs="http://www.w3.org/2001/XMLSchema" xmlns:p="http://schemas.microsoft.com/office/2006/metadata/properties" xmlns:ns2="21d83af8-fa94-41b0-acb5-346af3b903d5" xmlns:ns3="f407a1bc-779b-4c22-86cd-ff6d70ed0f4e" targetNamespace="http://schemas.microsoft.com/office/2006/metadata/properties" ma:root="true" ma:fieldsID="1a13c9865ea4508c22772e8944c75241" ns2:_="" ns3:_="">
    <xsd:import namespace="21d83af8-fa94-41b0-acb5-346af3b903d5"/>
    <xsd:import namespace="f407a1bc-779b-4c22-86cd-ff6d70ed0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83af8-fa94-41b0-acb5-346af3b9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a1bc-779b-4c22-86cd-ff6d70ed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973e0-98a9-43b0-af95-da0471350741}" ma:internalName="TaxCatchAll" ma:showField="CatchAllData" ma:web="f407a1bc-779b-4c22-86cd-ff6d70ed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83af8-fa94-41b0-acb5-346af3b903d5">
      <Terms xmlns="http://schemas.microsoft.com/office/infopath/2007/PartnerControls"/>
    </lcf76f155ced4ddcb4097134ff3c332f>
    <TaxCatchAll xmlns="f407a1bc-779b-4c22-86cd-ff6d70ed0f4e" xsi:nil="true"/>
  </documentManagement>
</p:properties>
</file>

<file path=customXml/itemProps1.xml><?xml version="1.0" encoding="utf-8"?>
<ds:datastoreItem xmlns:ds="http://schemas.openxmlformats.org/officeDocument/2006/customXml" ds:itemID="{62F77988-547B-4E59-862F-C8A0A1ECD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16713-837F-476D-949B-16A4336F5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83af8-fa94-41b0-acb5-346af3b903d5"/>
    <ds:schemaRef ds:uri="f407a1bc-779b-4c22-86cd-ff6d70ed0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E1B08-89EA-481A-A0EB-BCC5FE623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BC021-AEA6-49F9-8419-1AC1D8B9F4D6}">
  <ds:schemaRefs>
    <ds:schemaRef ds:uri="http://schemas.microsoft.com/office/2006/metadata/properties"/>
    <ds:schemaRef ds:uri="http://schemas.microsoft.com/office/infopath/2007/PartnerControls"/>
    <ds:schemaRef ds:uri="21d83af8-fa94-41b0-acb5-346af3b903d5"/>
    <ds:schemaRef ds:uri="f407a1bc-779b-4c22-86cd-ff6d70ed0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 Sangster-Wall</dc:creator>
  <cp:lastModifiedBy>CADGER, Paul (KERNOW HEALTH CIC)</cp:lastModifiedBy>
  <cp:revision>1</cp:revision>
  <cp:lastPrinted>2024-05-13T11:13:00Z</cp:lastPrinted>
  <dcterms:created xsi:type="dcterms:W3CDTF">2025-06-16T12:29:00Z</dcterms:created>
  <dcterms:modified xsi:type="dcterms:W3CDTF">2025-06-16T12:29:00Z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  <property fmtid="{D5CDD505-2E9C-101B-9397-08002B2CF9AE}" pid="3" name="Order">
    <vt:r8>951000</vt:r8>
  </property>
  <property fmtid="{D5CDD505-2E9C-101B-9397-08002B2CF9AE}" pid="4" name="MediaServiceImageTags">
    <vt:lpwstr/>
  </property>
</Properties>
</file>